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65790603"/>
    <w:bookmarkEnd w:id="0"/>
    <w:p w:rsidR="00087541" w:rsidRDefault="005852C4" w:rsidP="0050081F">
      <w:r w:rsidRPr="009E596A">
        <w:object w:dxaOrig="14570" w:dyaOrig="8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08pt" o:ole="">
            <v:imagedata r:id="rId8" o:title=""/>
          </v:shape>
          <o:OLEObject Type="Embed" ProgID="Word.Document.12" ShapeID="_x0000_i1025" DrawAspect="Content" ObjectID="_1765960256" r:id="rId9">
            <o:FieldCodes>\s</o:FieldCodes>
          </o:OLEObject>
        </w:object>
      </w:r>
    </w:p>
    <w:p w:rsidR="00031EC8" w:rsidRDefault="00031EC8" w:rsidP="0050081F"/>
    <w:p w:rsidR="002B4481" w:rsidRDefault="002B4481" w:rsidP="0050081F"/>
    <w:p w:rsidR="002B4481" w:rsidRDefault="002B4481" w:rsidP="005008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701"/>
        <w:gridCol w:w="1134"/>
        <w:gridCol w:w="1417"/>
      </w:tblGrid>
      <w:tr w:rsidR="009E7EC9" w:rsidTr="009E7E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E7EC9" w:rsidTr="009E7E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Пипетка одноразовая 3мл в индивидуальной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192500</w:t>
            </w:r>
          </w:p>
        </w:tc>
      </w:tr>
      <w:tr w:rsidR="009E7EC9" w:rsidTr="009E7E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внутриглазного давления ТВГД-02 (далее тонометр) предназначен для измерения истинного и тонометрического внутриглазного давления через веко без использования анестетиков у взрослых и детей в диапазоне от 5 до 60 мм рт. ст.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Тонометр может использоваться в лечебных учреждениях и домашних условиях. 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Противопоказания к применению: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патологические состояния верхнего века (воспалительные заболевания, рубцы, деформация века);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выраженная патология склеры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коньюктивиты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измерения.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Метрологические и технические характеристики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Значение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Диапазон показаний внутриглазного давления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(ВГД) (по Гольдману),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мм.рт.ст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5 до 60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Диапазон измерений внутриглазного давления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(ВГД) (по Гольдману), мм. рт.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7 до 50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Пределы допускаемой абсолютной погрешности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 внутриглазного давления (ВГД) (по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Гольдману),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мм.рт.ст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в диапазоне: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7 до 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мм.рт.ст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± 2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свыше 23 мм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± 5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Режимы измерения: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ВГД по Гольдману, И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ВГД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Маклакову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измерения ВГД, с, 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2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 электропитания,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2-3,3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 потребления в режиме измерения, мА, 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100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Электропитание: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элементов и напряжение,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2×1,5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ЖК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экран дисплея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Габаритные размеры (Д×В×Ш), мм, 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173 × 27 × 21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Масса, г, 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88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эксплуатации: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диапазон рабочих температур,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+ 10 до + 35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относительная влажность воздуха при, %, не более 80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атмосферное давление, кПа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84 до 106,7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комплект поставки входит: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Количество,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внутриглазного давления ТВГД-02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Футляр (со встроенным устройством контроля)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 питания 1,5В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по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Потребительская тара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  <w:p w:rsidR="009E7EC9" w:rsidRDefault="009E7EC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Наружные поверхности тонометра устойчивы к дезинфекции химическим методом в соответствии с МУ-287-113 от 30.12.1998 г. 3% раствором перекиси водорода по ГОСТ177-88 с добавлением 5% моющего средства по ГОСТ25644-96 или 5% раствором хлорамина по ТУ9392-031-00203306-2003 или другим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дезраствором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разрешенным к применению в медицинской практике для изделий из пластмасс и металлов от инфекции 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дерматофития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срок службы тонометра не менее 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C9" w:rsidRDefault="009E7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2970000</w:t>
            </w:r>
          </w:p>
        </w:tc>
      </w:tr>
    </w:tbl>
    <w:p w:rsidR="002B4481" w:rsidRDefault="00F5297F" w:rsidP="0050081F">
      <w:r>
        <w:t>1.Конверт в запечатанном виде был представлен следующими потенциальным поставщиками:</w:t>
      </w:r>
    </w:p>
    <w:p w:rsidR="002B4481" w:rsidRDefault="002B4481" w:rsidP="002B4481">
      <w:pPr>
        <w:tabs>
          <w:tab w:val="left" w:pos="165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747"/>
        <w:gridCol w:w="6378"/>
        <w:gridCol w:w="1701"/>
      </w:tblGrid>
      <w:tr w:rsidR="00D93DFB" w:rsidTr="00D93DFB">
        <w:tc>
          <w:tcPr>
            <w:tcW w:w="756" w:type="dxa"/>
          </w:tcPr>
          <w:p w:rsidR="00D93DFB" w:rsidRDefault="00D93DFB" w:rsidP="0050081F">
            <w:r>
              <w:t>№п/п</w:t>
            </w:r>
          </w:p>
        </w:tc>
        <w:tc>
          <w:tcPr>
            <w:tcW w:w="3747" w:type="dxa"/>
          </w:tcPr>
          <w:p w:rsidR="00D93DFB" w:rsidRDefault="00D93DFB" w:rsidP="0050081F">
            <w:r>
              <w:t>Наименование поставщика</w:t>
            </w:r>
          </w:p>
        </w:tc>
        <w:tc>
          <w:tcPr>
            <w:tcW w:w="6378" w:type="dxa"/>
          </w:tcPr>
          <w:p w:rsidR="00D93DFB" w:rsidRDefault="00D93DFB" w:rsidP="00D93DFB">
            <w:pPr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D93DFB" w:rsidRDefault="00D93DFB" w:rsidP="0050081F">
            <w:r>
              <w:t>БИН</w:t>
            </w:r>
          </w:p>
        </w:tc>
      </w:tr>
      <w:tr w:rsidR="00D93DFB" w:rsidTr="00D93DFB">
        <w:tc>
          <w:tcPr>
            <w:tcW w:w="756" w:type="dxa"/>
          </w:tcPr>
          <w:p w:rsidR="00D93DFB" w:rsidRDefault="00D93DFB" w:rsidP="0050081F">
            <w:r>
              <w:t>1</w:t>
            </w:r>
          </w:p>
        </w:tc>
        <w:tc>
          <w:tcPr>
            <w:tcW w:w="3747" w:type="dxa"/>
          </w:tcPr>
          <w:p w:rsidR="00D93DFB" w:rsidRDefault="00D93DFB" w:rsidP="0050081F">
            <w:r>
              <w:t>ТОО «</w:t>
            </w:r>
            <w:r>
              <w:rPr>
                <w:lang w:val="en-US"/>
              </w:rPr>
              <w:t>Medical Trade</w:t>
            </w:r>
            <w:r>
              <w:t>»</w:t>
            </w:r>
          </w:p>
        </w:tc>
        <w:tc>
          <w:tcPr>
            <w:tcW w:w="6378" w:type="dxa"/>
          </w:tcPr>
          <w:p w:rsidR="00D93DFB" w:rsidRDefault="00D93DFB" w:rsidP="0050081F">
            <w:proofErr w:type="spellStart"/>
            <w:r>
              <w:t>Г.Павлодар,ул.Кабдеш</w:t>
            </w:r>
            <w:proofErr w:type="spellEnd"/>
            <w:r>
              <w:t xml:space="preserve"> Нуркина,строение104/13.офис 8 инд140000</w:t>
            </w:r>
          </w:p>
        </w:tc>
        <w:tc>
          <w:tcPr>
            <w:tcW w:w="1701" w:type="dxa"/>
          </w:tcPr>
          <w:p w:rsidR="00D93DFB" w:rsidRDefault="00D93DFB" w:rsidP="0050081F">
            <w:r>
              <w:t>140640026538</w:t>
            </w:r>
          </w:p>
        </w:tc>
      </w:tr>
      <w:tr w:rsidR="00D93DFB" w:rsidTr="00D93DFB">
        <w:tc>
          <w:tcPr>
            <w:tcW w:w="756" w:type="dxa"/>
          </w:tcPr>
          <w:p w:rsidR="00D93DFB" w:rsidRDefault="00D93DFB" w:rsidP="0050081F">
            <w:r>
              <w:t>2</w:t>
            </w:r>
          </w:p>
        </w:tc>
        <w:tc>
          <w:tcPr>
            <w:tcW w:w="3747" w:type="dxa"/>
          </w:tcPr>
          <w:p w:rsidR="00D93DFB" w:rsidRDefault="00D93DFB" w:rsidP="0050081F"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«Братья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Азизляр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ИКО»</w:t>
            </w:r>
          </w:p>
        </w:tc>
        <w:tc>
          <w:tcPr>
            <w:tcW w:w="6378" w:type="dxa"/>
          </w:tcPr>
          <w:p w:rsidR="00D93DFB" w:rsidRDefault="00D93DFB" w:rsidP="00D8399C">
            <w:proofErr w:type="spellStart"/>
            <w:proofErr w:type="gramStart"/>
            <w:r>
              <w:t>Г.Петропавловск,ул.Нурсултана</w:t>
            </w:r>
            <w:proofErr w:type="spellEnd"/>
            <w:proofErr w:type="gramEnd"/>
            <w:r>
              <w:t xml:space="preserve"> Назарбаева,127</w:t>
            </w:r>
          </w:p>
          <w:p w:rsidR="00D93DFB" w:rsidRDefault="00D93DFB" w:rsidP="00D8399C"/>
        </w:tc>
        <w:tc>
          <w:tcPr>
            <w:tcW w:w="1701" w:type="dxa"/>
          </w:tcPr>
          <w:p w:rsidR="00D93DFB" w:rsidRDefault="00D93DFB" w:rsidP="0050081F">
            <w:r>
              <w:t>190140008213</w:t>
            </w:r>
          </w:p>
        </w:tc>
      </w:tr>
      <w:tr w:rsidR="00D93DFB" w:rsidTr="00D93DFB">
        <w:tc>
          <w:tcPr>
            <w:tcW w:w="756" w:type="dxa"/>
          </w:tcPr>
          <w:p w:rsidR="00D93DFB" w:rsidRDefault="00D93DFB" w:rsidP="0050081F">
            <w:r>
              <w:lastRenderedPageBreak/>
              <w:t>3</w:t>
            </w:r>
          </w:p>
        </w:tc>
        <w:tc>
          <w:tcPr>
            <w:tcW w:w="3747" w:type="dxa"/>
          </w:tcPr>
          <w:p w:rsidR="00D93DFB" w:rsidRDefault="00D93DFB" w:rsidP="005008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DIALAB.KZ</w:t>
            </w:r>
          </w:p>
        </w:tc>
        <w:tc>
          <w:tcPr>
            <w:tcW w:w="6378" w:type="dxa"/>
          </w:tcPr>
          <w:p w:rsidR="00D93DFB" w:rsidRDefault="00D93DFB" w:rsidP="00D8399C">
            <w:r>
              <w:t>Г.Павлодар,ул.Сураганова12/2</w:t>
            </w:r>
          </w:p>
        </w:tc>
        <w:tc>
          <w:tcPr>
            <w:tcW w:w="1701" w:type="dxa"/>
          </w:tcPr>
          <w:p w:rsidR="00D93DFB" w:rsidRDefault="00D93DFB" w:rsidP="0050081F">
            <w:r>
              <w:t>161040013560</w:t>
            </w:r>
          </w:p>
        </w:tc>
      </w:tr>
      <w:tr w:rsidR="00D93DFB" w:rsidTr="00D93DFB">
        <w:tc>
          <w:tcPr>
            <w:tcW w:w="756" w:type="dxa"/>
          </w:tcPr>
          <w:p w:rsidR="00D93DFB" w:rsidRDefault="00D93DFB" w:rsidP="0050081F">
            <w:r>
              <w:t>4</w:t>
            </w:r>
          </w:p>
        </w:tc>
        <w:tc>
          <w:tcPr>
            <w:tcW w:w="3747" w:type="dxa"/>
          </w:tcPr>
          <w:p w:rsidR="00D93DFB" w:rsidRDefault="00D93DFB" w:rsidP="0050081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</w:t>
            </w:r>
            <w:r>
              <w:rPr>
                <w:rFonts w:ascii="Calibri" w:hAnsi="Calibri" w:cs="Calibri"/>
                <w:b/>
                <w:bCs/>
                <w:color w:val="000000"/>
              </w:rPr>
              <w:t>Компания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Медиус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6378" w:type="dxa"/>
          </w:tcPr>
          <w:p w:rsidR="00D93DFB" w:rsidRDefault="00D93DFB" w:rsidP="00D8399C">
            <w:r>
              <w:t>Г.Павлодар,ул.Ак.Сатпаева43 оф17</w:t>
            </w:r>
          </w:p>
        </w:tc>
        <w:tc>
          <w:tcPr>
            <w:tcW w:w="1701" w:type="dxa"/>
          </w:tcPr>
          <w:p w:rsidR="00D93DFB" w:rsidRDefault="00D93DFB" w:rsidP="0050081F">
            <w:r>
              <w:t>040840004296</w:t>
            </w:r>
          </w:p>
        </w:tc>
      </w:tr>
      <w:tr w:rsidR="00D93DFB" w:rsidTr="00D93DFB">
        <w:tc>
          <w:tcPr>
            <w:tcW w:w="756" w:type="dxa"/>
          </w:tcPr>
          <w:p w:rsidR="00D93DFB" w:rsidRDefault="00D93DFB" w:rsidP="0050081F">
            <w:r>
              <w:t>5</w:t>
            </w:r>
          </w:p>
        </w:tc>
        <w:tc>
          <w:tcPr>
            <w:tcW w:w="3747" w:type="dxa"/>
          </w:tcPr>
          <w:p w:rsidR="00D93DFB" w:rsidRPr="00050C8B" w:rsidRDefault="00D93DFB" w:rsidP="00D8399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</w:t>
            </w:r>
            <w:r>
              <w:rPr>
                <w:rFonts w:ascii="Calibri" w:hAnsi="Calibri" w:cs="Calibri"/>
                <w:b/>
                <w:bCs/>
                <w:color w:val="000000"/>
              </w:rPr>
              <w:t>АЛЬФА МЕДИКА КАЗАХСТАН</w:t>
            </w:r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6378" w:type="dxa"/>
          </w:tcPr>
          <w:p w:rsidR="00D93DFB" w:rsidRDefault="00D93DFB" w:rsidP="00D8399C">
            <w:r>
              <w:t xml:space="preserve">Область </w:t>
            </w:r>
            <w:proofErr w:type="spellStart"/>
            <w:r>
              <w:t>Абай,г.Семей,ул.Айткеша</w:t>
            </w:r>
            <w:proofErr w:type="spellEnd"/>
            <w:r>
              <w:t xml:space="preserve"> </w:t>
            </w:r>
            <w:proofErr w:type="spellStart"/>
            <w:r>
              <w:t>Ибраева</w:t>
            </w:r>
            <w:proofErr w:type="spellEnd"/>
            <w:r>
              <w:t xml:space="preserve"> д.181 </w:t>
            </w:r>
          </w:p>
        </w:tc>
        <w:tc>
          <w:tcPr>
            <w:tcW w:w="1701" w:type="dxa"/>
          </w:tcPr>
          <w:p w:rsidR="00D93DFB" w:rsidRDefault="00D93DFB" w:rsidP="0050081F">
            <w:r>
              <w:t>171140023997</w:t>
            </w:r>
          </w:p>
          <w:p w:rsidR="00D93DFB" w:rsidRDefault="00D93DFB" w:rsidP="0050081F"/>
        </w:tc>
      </w:tr>
      <w:tr w:rsidR="00D93DFB" w:rsidTr="00D93DFB">
        <w:tc>
          <w:tcPr>
            <w:tcW w:w="756" w:type="dxa"/>
          </w:tcPr>
          <w:p w:rsidR="00D93DFB" w:rsidRDefault="00D93DFB" w:rsidP="0050081F">
            <w:r>
              <w:t>6</w:t>
            </w:r>
          </w:p>
        </w:tc>
        <w:tc>
          <w:tcPr>
            <w:tcW w:w="3747" w:type="dxa"/>
          </w:tcPr>
          <w:p w:rsidR="00D93DFB" w:rsidRPr="00050C8B" w:rsidRDefault="00D93DFB" w:rsidP="00D8399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</w:t>
            </w:r>
            <w:r>
              <w:rPr>
                <w:rFonts w:ascii="Calibri" w:hAnsi="Calibri" w:cs="Calibri"/>
                <w:b/>
                <w:bCs/>
                <w:color w:val="000000"/>
              </w:rPr>
              <w:t>Ренисан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6378" w:type="dxa"/>
          </w:tcPr>
          <w:p w:rsidR="00D93DFB" w:rsidRDefault="00D93DFB" w:rsidP="00D8399C">
            <w:r>
              <w:t xml:space="preserve">Западно-Казахстанская </w:t>
            </w:r>
            <w:proofErr w:type="spellStart"/>
            <w:r>
              <w:t>область,г.Уральск,улица</w:t>
            </w:r>
            <w:proofErr w:type="spellEnd"/>
            <w:r>
              <w:t xml:space="preserve"> Дины </w:t>
            </w:r>
            <w:proofErr w:type="spellStart"/>
            <w:r>
              <w:t>Нурпеисовой,здание</w:t>
            </w:r>
            <w:proofErr w:type="spellEnd"/>
            <w:r>
              <w:t xml:space="preserve"> 12,офис 33</w:t>
            </w:r>
          </w:p>
        </w:tc>
        <w:tc>
          <w:tcPr>
            <w:tcW w:w="1701" w:type="dxa"/>
          </w:tcPr>
          <w:p w:rsidR="00D93DFB" w:rsidRDefault="00D93DFB" w:rsidP="0050081F">
            <w:r>
              <w:t>221240042634</w:t>
            </w:r>
          </w:p>
        </w:tc>
      </w:tr>
    </w:tbl>
    <w:p w:rsidR="002B4481" w:rsidRDefault="002B4481" w:rsidP="0050081F"/>
    <w:p w:rsidR="002B4481" w:rsidRDefault="00D93DFB" w:rsidP="0050081F">
      <w:r>
        <w:t>В соответствии с правилами организации ком</w:t>
      </w:r>
      <w:r w:rsidR="00C5349F">
        <w:t>исс</w:t>
      </w:r>
      <w:r>
        <w:t>и</w:t>
      </w:r>
      <w:r w:rsidR="00C5349F">
        <w:t>я</w:t>
      </w:r>
      <w:r>
        <w:t xml:space="preserve"> подвели итоги по закупу изделий медицинского назначения:</w:t>
      </w:r>
    </w:p>
    <w:p w:rsidR="00D93DFB" w:rsidRDefault="00D93DFB" w:rsidP="0050081F">
      <w:r>
        <w:t xml:space="preserve">При вскрытии конвертов были подведены </w:t>
      </w:r>
    </w:p>
    <w:p w:rsidR="002B4481" w:rsidRDefault="002B4481" w:rsidP="0050081F"/>
    <w:tbl>
      <w:tblPr>
        <w:tblW w:w="13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387"/>
        <w:gridCol w:w="4029"/>
        <w:gridCol w:w="1145"/>
        <w:gridCol w:w="612"/>
        <w:gridCol w:w="773"/>
        <w:gridCol w:w="824"/>
        <w:gridCol w:w="850"/>
        <w:gridCol w:w="851"/>
        <w:gridCol w:w="709"/>
        <w:gridCol w:w="850"/>
        <w:gridCol w:w="709"/>
        <w:gridCol w:w="1276"/>
      </w:tblGrid>
      <w:tr w:rsidR="000A358F" w:rsidRPr="00050C8B" w:rsidTr="000A358F">
        <w:trPr>
          <w:trHeight w:val="58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 xml:space="preserve">КГП на ПХВ "Больница Района </w:t>
            </w: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Аккулы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58F" w:rsidRPr="00050C8B" w:rsidRDefault="009732C7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Сумма</w:t>
            </w:r>
          </w:p>
        </w:tc>
      </w:tr>
      <w:tr w:rsidR="000A358F" w:rsidRPr="00050C8B" w:rsidTr="000A358F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97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Протокол №</w:t>
            </w:r>
            <w:r w:rsidR="009732C7"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Pr="00050C8B">
              <w:rPr>
                <w:rFonts w:ascii="Calibri" w:hAnsi="Calibri" w:cs="Calibri"/>
                <w:b/>
                <w:bCs/>
                <w:color w:val="000000"/>
              </w:rPr>
              <w:t xml:space="preserve"> для ГОС.ЗАК.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358F" w:rsidRPr="00050C8B" w:rsidTr="000A358F">
        <w:trPr>
          <w:trHeight w:val="182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9E7EC9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Trade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A9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«Братья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Азизляр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ИКО»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A928C6" w:rsidRDefault="000A358F" w:rsidP="00A9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DIALAB.KZ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A9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</w:t>
            </w:r>
            <w:r>
              <w:rPr>
                <w:rFonts w:ascii="Calibri" w:hAnsi="Calibri" w:cs="Calibri"/>
                <w:b/>
                <w:bCs/>
                <w:color w:val="000000"/>
              </w:rPr>
              <w:t>Компания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Медиус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D83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</w:t>
            </w:r>
            <w:r>
              <w:rPr>
                <w:rFonts w:ascii="Calibri" w:hAnsi="Calibri" w:cs="Calibri"/>
                <w:b/>
                <w:bCs/>
                <w:color w:val="000000"/>
              </w:rPr>
              <w:t>АЛ</w:t>
            </w:r>
            <w:r w:rsidR="00D8399C">
              <w:rPr>
                <w:rFonts w:ascii="Calibri" w:hAnsi="Calibri" w:cs="Calibri"/>
                <w:b/>
                <w:bCs/>
                <w:color w:val="000000"/>
              </w:rPr>
              <w:t>Ь</w:t>
            </w:r>
            <w:r>
              <w:rPr>
                <w:rFonts w:ascii="Calibri" w:hAnsi="Calibri" w:cs="Calibri"/>
                <w:b/>
                <w:bCs/>
                <w:color w:val="000000"/>
              </w:rPr>
              <w:t>ФА МЕДИКА КАЗАХСТАН</w:t>
            </w:r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A9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</w:t>
            </w:r>
            <w:r>
              <w:rPr>
                <w:rFonts w:ascii="Calibri" w:hAnsi="Calibri" w:cs="Calibri"/>
                <w:b/>
                <w:bCs/>
                <w:color w:val="000000"/>
              </w:rPr>
              <w:t>Ренисан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358F" w:rsidRPr="00050C8B" w:rsidTr="000A358F">
        <w:trPr>
          <w:trHeight w:val="15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58F" w:rsidRPr="00050C8B" w:rsidRDefault="000A358F" w:rsidP="009E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Пипетка одноразовая 3мл в индивидуальной упаковке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58F" w:rsidRPr="009E7EC9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38.5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D93DF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D93DF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D93DF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93DFB">
              <w:rPr>
                <w:rFonts w:ascii="Calibri" w:hAnsi="Calibri" w:cs="Calibri"/>
                <w:b/>
                <w:color w:val="000000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185000,0</w:t>
            </w:r>
          </w:p>
        </w:tc>
      </w:tr>
      <w:tr w:rsidR="000A358F" w:rsidRPr="00050C8B" w:rsidTr="000A358F">
        <w:trPr>
          <w:trHeight w:val="15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58F" w:rsidRPr="009E7EC9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358F" w:rsidRPr="009E7EC9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Тонометр внутриглазного давления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D93DF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93DFB">
              <w:rPr>
                <w:rFonts w:ascii="Calibri" w:hAnsi="Calibri" w:cs="Calibri"/>
                <w:b/>
                <w:color w:val="000000"/>
              </w:rPr>
              <w:t>384000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050C8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8F" w:rsidRPr="00D93DFB" w:rsidRDefault="000A358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93DFB">
              <w:rPr>
                <w:rFonts w:ascii="Calibri" w:hAnsi="Calibri" w:cs="Calibri"/>
                <w:b/>
                <w:color w:val="000000"/>
              </w:rPr>
              <w:t>2304000,0</w:t>
            </w:r>
          </w:p>
        </w:tc>
      </w:tr>
    </w:tbl>
    <w:p w:rsidR="00031EC8" w:rsidRDefault="00031EC8" w:rsidP="0050081F"/>
    <w:p w:rsidR="00AE61E4" w:rsidRDefault="000A358F" w:rsidP="008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заключить с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10F9">
        <w:rPr>
          <w:rFonts w:ascii="Times New Roman" w:hAnsi="Times New Roman" w:cs="Times New Roman"/>
          <w:sz w:val="28"/>
          <w:szCs w:val="28"/>
          <w:lang w:val="kk-KZ"/>
        </w:rPr>
        <w:t xml:space="preserve">, БИН </w:t>
      </w:r>
      <w:r w:rsidR="002810F9">
        <w:t>140640026538</w:t>
      </w:r>
      <w:r w:rsidR="002810F9">
        <w:rPr>
          <w:lang w:val="kk-KZ"/>
        </w:rPr>
        <w:t xml:space="preserve">, </w:t>
      </w:r>
      <w:proofErr w:type="spellStart"/>
      <w:proofErr w:type="gramStart"/>
      <w:r w:rsidR="002810F9">
        <w:t>Г.Павлодар,ул.Кабдеш</w:t>
      </w:r>
      <w:proofErr w:type="spellEnd"/>
      <w:proofErr w:type="gramEnd"/>
      <w:r w:rsidR="002810F9">
        <w:t xml:space="preserve"> Нуркина,строение104/13.офис 8 инд140000</w:t>
      </w:r>
      <w:r w:rsidR="002810F9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10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185</w:t>
      </w:r>
      <w:r w:rsidR="002810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по лот</w:t>
      </w:r>
      <w:r w:rsidR="002810F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A358F" w:rsidRPr="000A358F" w:rsidRDefault="000A358F" w:rsidP="008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</w:t>
      </w:r>
      <w:r w:rsidR="002810F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№2 –договор заключить с ТОО «</w:t>
      </w:r>
      <w:r>
        <w:rPr>
          <w:rFonts w:ascii="Times New Roman" w:hAnsi="Times New Roman" w:cs="Times New Roman"/>
          <w:sz w:val="28"/>
          <w:szCs w:val="28"/>
          <w:lang w:val="en-US"/>
        </w:rPr>
        <w:t>DIALAB</w:t>
      </w:r>
      <w:r w:rsidRPr="000A3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10F9">
        <w:rPr>
          <w:rFonts w:ascii="Times New Roman" w:hAnsi="Times New Roman" w:cs="Times New Roman"/>
          <w:sz w:val="28"/>
          <w:szCs w:val="28"/>
          <w:lang w:val="kk-KZ"/>
        </w:rPr>
        <w:t xml:space="preserve">, БИН </w:t>
      </w:r>
      <w:r w:rsidR="002810F9">
        <w:t>161040013560</w:t>
      </w:r>
      <w:r w:rsidR="002810F9">
        <w:rPr>
          <w:lang w:val="kk-KZ"/>
        </w:rPr>
        <w:t xml:space="preserve">, </w:t>
      </w:r>
      <w:proofErr w:type="gramStart"/>
      <w:r w:rsidR="002810F9">
        <w:t>Г.Павлодар,ул.Сураганова</w:t>
      </w:r>
      <w:proofErr w:type="gramEnd"/>
      <w:r w:rsidR="002810F9">
        <w:t>12/2</w:t>
      </w:r>
      <w:r w:rsidR="002810F9">
        <w:rPr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10F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сумму 2304000,0 тенге</w:t>
      </w:r>
    </w:p>
    <w:p w:rsidR="007E1B3A" w:rsidRPr="00413ADC" w:rsidRDefault="000A358F">
      <w:pPr>
        <w:rPr>
          <w:b/>
        </w:rPr>
      </w:pPr>
      <w:proofErr w:type="gramStart"/>
      <w:r>
        <w:t xml:space="preserve">Подписи </w:t>
      </w:r>
      <w:r w:rsidR="005852C4">
        <w:t>:</w:t>
      </w:r>
      <w:bookmarkStart w:id="1" w:name="_GoBack"/>
      <w:bookmarkEnd w:id="1"/>
      <w:proofErr w:type="gramEnd"/>
    </w:p>
    <w:sectPr w:rsidR="007E1B3A" w:rsidRPr="00413ADC" w:rsidSect="003C460B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B3" w:rsidRDefault="008540B3" w:rsidP="002262FB">
      <w:pPr>
        <w:spacing w:after="0" w:line="240" w:lineRule="auto"/>
      </w:pPr>
      <w:r>
        <w:separator/>
      </w:r>
    </w:p>
  </w:endnote>
  <w:endnote w:type="continuationSeparator" w:id="0">
    <w:p w:rsidR="008540B3" w:rsidRDefault="008540B3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B3" w:rsidRDefault="008540B3" w:rsidP="002262FB">
      <w:pPr>
        <w:spacing w:after="0" w:line="240" w:lineRule="auto"/>
      </w:pPr>
      <w:r>
        <w:separator/>
      </w:r>
    </w:p>
  </w:footnote>
  <w:footnote w:type="continuationSeparator" w:id="0">
    <w:p w:rsidR="008540B3" w:rsidRDefault="008540B3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76" w:rsidRDefault="00A14276">
    <w:pPr>
      <w:pStyle w:val="a4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817"/>
      <w:gridCol w:w="8222"/>
      <w:gridCol w:w="1701"/>
      <w:gridCol w:w="1134"/>
      <w:gridCol w:w="1417"/>
    </w:tblGrid>
    <w:tr w:rsidR="002B4481" w:rsidTr="002B4481">
      <w:tc>
        <w:tcPr>
          <w:tcW w:w="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4481" w:rsidRDefault="002B4481">
          <w:pPr>
            <w:widowControl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Тонометр внутриглазного давления ТВГД-02 (далее тонометр) предназначен для измерения истинного и тонометрического внутриглазного давления через веко без использования анестетиков у взрослых и детей в диапазоне от 5 до 60 мм рт. ст.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Тонометр может использоваться в лечебных учреждениях и домашних условиях. 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       Противопоказания к применению: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- патологические состояния верхнего века (воспалительные заболевания, рубцы, деформация века);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выраженная патология склеры и/или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коньюктивиты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в области измерения.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      Метрологические и технические характеристики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Наименование характеристики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Значение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характеристики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Диапазон показаний внутриглазного давления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(ВГД) (по Гольдману),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мм.рт.ст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от 5 до 60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Диапазон измерений внутриглазного давления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(ВГД) (по Гольдману), мм. рт. ст.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от 7 до 50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Пределы допускаемой абсолютной погрешности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измерения внутриглазного давления (ВГД) (по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Гольдману),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мм.рт.ст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., в диапазоне: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от 7 до 23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мм.рт.ст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 ± 2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свыше 23 мм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рт.ст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± 5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Режимы измерения: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- ВГД по Гольдману, И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ВГД по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Маклакову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Т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Время измерения ВГД, с, не более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 2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Напряжение электропитания, В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2-3,3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Ток потребления в режиме измерения, мА, не более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100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Электропитание: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Число элементов и напряжение, В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2×1,5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Дисплей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ЖК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Вывод данных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экран дисплея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Габаритные размеры (Д×В×Ш), мм, не более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173 × 27 × 21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Масса, г, не более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88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Условия эксплуатации: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− диапазон рабочих температур,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от + 10 до + 35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− относительная влажность воздуха при, %, не более 80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− атмосферное давление, кПа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от 84 до 106,7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В комплект поставки входит: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Наименование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Количество,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шт</w:t>
          </w:r>
          <w:proofErr w:type="spellEnd"/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Тонометр внутриглазного давления ТВГД-02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Футляр (со встроенным устройством контроля)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Элемент питания 1,5В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2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Руководство по эксплуатации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Потребительская тара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</w:t>
          </w:r>
        </w:p>
        <w:p w:rsidR="002B4481" w:rsidRDefault="002B4481">
          <w:pPr>
            <w:widowControl w:val="0"/>
            <w:shd w:val="clear" w:color="auto" w:fill="FFFFFF"/>
            <w:tabs>
              <w:tab w:val="left" w:pos="1050"/>
            </w:tabs>
            <w:autoSpaceDN w:val="0"/>
            <w:textAlignment w:val="baseline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Наружные поверхности тонометра устойчивы к дезинфекции химическим методом в соответствии с МУ-287-113 от 30.12.1998 г. 3% раствором перекиси водорода по ГОСТ177-88 с добавлением 5% моющего средства по ГОСТ25644-96 или 5% раствором хлорамина по ТУ9392-031-00203306-2003 или другим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дезраствором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разрешенным к применению в медицинской практике для изделий из пластмасс и металлов от инфекции вида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дерматофития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</w:p>
        <w:p w:rsidR="002B4481" w:rsidRDefault="002B4481">
          <w:pPr>
            <w:widowControl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Средний срок службы тонометра не менее 5 лет.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4481" w:rsidRDefault="002B4481">
          <w:pPr>
            <w:widowControl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4481" w:rsidRDefault="002B4481">
          <w:pPr>
            <w:widowControl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шт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4481" w:rsidRDefault="002B4481">
          <w:pPr>
            <w:widowControl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2970000</w:t>
          </w:r>
        </w:p>
      </w:tc>
    </w:tr>
  </w:tbl>
  <w:p w:rsidR="008C6534" w:rsidRDefault="008C6534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63"/>
    <w:rsid w:val="00005D9C"/>
    <w:rsid w:val="000142F9"/>
    <w:rsid w:val="000216EA"/>
    <w:rsid w:val="000235E2"/>
    <w:rsid w:val="00031EC8"/>
    <w:rsid w:val="00045FCB"/>
    <w:rsid w:val="00050C8B"/>
    <w:rsid w:val="000572E8"/>
    <w:rsid w:val="0006338A"/>
    <w:rsid w:val="000726F2"/>
    <w:rsid w:val="00087541"/>
    <w:rsid w:val="000971AD"/>
    <w:rsid w:val="000A205D"/>
    <w:rsid w:val="000A358F"/>
    <w:rsid w:val="000A50F7"/>
    <w:rsid w:val="000C7355"/>
    <w:rsid w:val="000D4D14"/>
    <w:rsid w:val="000D7910"/>
    <w:rsid w:val="000F3780"/>
    <w:rsid w:val="000F3B5C"/>
    <w:rsid w:val="00103066"/>
    <w:rsid w:val="00106EB9"/>
    <w:rsid w:val="00111AB0"/>
    <w:rsid w:val="0012023D"/>
    <w:rsid w:val="00136865"/>
    <w:rsid w:val="0014375A"/>
    <w:rsid w:val="0016413F"/>
    <w:rsid w:val="001815F4"/>
    <w:rsid w:val="001828C0"/>
    <w:rsid w:val="001959D8"/>
    <w:rsid w:val="001A3D04"/>
    <w:rsid w:val="001A51DC"/>
    <w:rsid w:val="001A7293"/>
    <w:rsid w:val="001B3258"/>
    <w:rsid w:val="001B5480"/>
    <w:rsid w:val="001B5B85"/>
    <w:rsid w:val="001E0A8C"/>
    <w:rsid w:val="001F500B"/>
    <w:rsid w:val="001F6FBB"/>
    <w:rsid w:val="00202267"/>
    <w:rsid w:val="00206A7B"/>
    <w:rsid w:val="00215EFF"/>
    <w:rsid w:val="002244AF"/>
    <w:rsid w:val="002262FB"/>
    <w:rsid w:val="00234CA5"/>
    <w:rsid w:val="00254BB1"/>
    <w:rsid w:val="00266516"/>
    <w:rsid w:val="002810F9"/>
    <w:rsid w:val="00282EAA"/>
    <w:rsid w:val="002B3F3C"/>
    <w:rsid w:val="002B4481"/>
    <w:rsid w:val="002B484D"/>
    <w:rsid w:val="002B49FA"/>
    <w:rsid w:val="002D27BA"/>
    <w:rsid w:val="002D2AE1"/>
    <w:rsid w:val="002F5F65"/>
    <w:rsid w:val="003011CE"/>
    <w:rsid w:val="00302A54"/>
    <w:rsid w:val="00304051"/>
    <w:rsid w:val="00324247"/>
    <w:rsid w:val="003255B6"/>
    <w:rsid w:val="00355D0F"/>
    <w:rsid w:val="00356DDD"/>
    <w:rsid w:val="00361665"/>
    <w:rsid w:val="00374A59"/>
    <w:rsid w:val="00383C84"/>
    <w:rsid w:val="00385AD4"/>
    <w:rsid w:val="0039127B"/>
    <w:rsid w:val="003948E0"/>
    <w:rsid w:val="003A1BBE"/>
    <w:rsid w:val="003A4F00"/>
    <w:rsid w:val="003C460B"/>
    <w:rsid w:val="003E1F30"/>
    <w:rsid w:val="003F14A1"/>
    <w:rsid w:val="00413ADC"/>
    <w:rsid w:val="0042016F"/>
    <w:rsid w:val="00423E04"/>
    <w:rsid w:val="0046124D"/>
    <w:rsid w:val="00467EAB"/>
    <w:rsid w:val="0047793C"/>
    <w:rsid w:val="00486B47"/>
    <w:rsid w:val="004936DE"/>
    <w:rsid w:val="004C48AE"/>
    <w:rsid w:val="004D2166"/>
    <w:rsid w:val="004D6982"/>
    <w:rsid w:val="004E33B1"/>
    <w:rsid w:val="004E345C"/>
    <w:rsid w:val="004E778B"/>
    <w:rsid w:val="004F789B"/>
    <w:rsid w:val="0050081F"/>
    <w:rsid w:val="005304AA"/>
    <w:rsid w:val="00532E1D"/>
    <w:rsid w:val="0054354E"/>
    <w:rsid w:val="00581FB2"/>
    <w:rsid w:val="00585080"/>
    <w:rsid w:val="005852C4"/>
    <w:rsid w:val="00593B06"/>
    <w:rsid w:val="00594268"/>
    <w:rsid w:val="005A314B"/>
    <w:rsid w:val="005B726B"/>
    <w:rsid w:val="005C629A"/>
    <w:rsid w:val="005E0684"/>
    <w:rsid w:val="005E0F7C"/>
    <w:rsid w:val="005F5823"/>
    <w:rsid w:val="0060141F"/>
    <w:rsid w:val="006069D5"/>
    <w:rsid w:val="00617B42"/>
    <w:rsid w:val="00622B3D"/>
    <w:rsid w:val="00635E7E"/>
    <w:rsid w:val="006401E8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52352"/>
    <w:rsid w:val="0076442E"/>
    <w:rsid w:val="007645BC"/>
    <w:rsid w:val="00785D61"/>
    <w:rsid w:val="007867DF"/>
    <w:rsid w:val="00795966"/>
    <w:rsid w:val="007B7A29"/>
    <w:rsid w:val="007C7123"/>
    <w:rsid w:val="007E1B3A"/>
    <w:rsid w:val="00802FAA"/>
    <w:rsid w:val="00803689"/>
    <w:rsid w:val="0082766C"/>
    <w:rsid w:val="00842F99"/>
    <w:rsid w:val="008540B3"/>
    <w:rsid w:val="00856F39"/>
    <w:rsid w:val="0087022D"/>
    <w:rsid w:val="00873DC8"/>
    <w:rsid w:val="00876E37"/>
    <w:rsid w:val="00877868"/>
    <w:rsid w:val="00881428"/>
    <w:rsid w:val="008846E4"/>
    <w:rsid w:val="008A65C5"/>
    <w:rsid w:val="008C6534"/>
    <w:rsid w:val="008D1F16"/>
    <w:rsid w:val="008E0A45"/>
    <w:rsid w:val="00907E02"/>
    <w:rsid w:val="00920620"/>
    <w:rsid w:val="00941D39"/>
    <w:rsid w:val="0094222D"/>
    <w:rsid w:val="00956352"/>
    <w:rsid w:val="009732C7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9E596A"/>
    <w:rsid w:val="009E7EC9"/>
    <w:rsid w:val="00A062E3"/>
    <w:rsid w:val="00A07277"/>
    <w:rsid w:val="00A14276"/>
    <w:rsid w:val="00A149BD"/>
    <w:rsid w:val="00A17D9C"/>
    <w:rsid w:val="00A17DDF"/>
    <w:rsid w:val="00A227FE"/>
    <w:rsid w:val="00A34ECD"/>
    <w:rsid w:val="00A41B00"/>
    <w:rsid w:val="00A720FF"/>
    <w:rsid w:val="00A722A0"/>
    <w:rsid w:val="00A742BC"/>
    <w:rsid w:val="00A862FE"/>
    <w:rsid w:val="00A912D3"/>
    <w:rsid w:val="00A928C6"/>
    <w:rsid w:val="00A93DED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4471B"/>
    <w:rsid w:val="00B53678"/>
    <w:rsid w:val="00B60C8D"/>
    <w:rsid w:val="00B60D5D"/>
    <w:rsid w:val="00B67E2D"/>
    <w:rsid w:val="00B72BB8"/>
    <w:rsid w:val="00B86B7B"/>
    <w:rsid w:val="00B937E3"/>
    <w:rsid w:val="00B94A0E"/>
    <w:rsid w:val="00BA2A96"/>
    <w:rsid w:val="00BA44C9"/>
    <w:rsid w:val="00BC50C1"/>
    <w:rsid w:val="00BD6CB0"/>
    <w:rsid w:val="00BE4158"/>
    <w:rsid w:val="00BF7BDE"/>
    <w:rsid w:val="00C04BFB"/>
    <w:rsid w:val="00C07F78"/>
    <w:rsid w:val="00C12771"/>
    <w:rsid w:val="00C31711"/>
    <w:rsid w:val="00C5349F"/>
    <w:rsid w:val="00C546B8"/>
    <w:rsid w:val="00C87684"/>
    <w:rsid w:val="00C94853"/>
    <w:rsid w:val="00CA0C6C"/>
    <w:rsid w:val="00CA1B2F"/>
    <w:rsid w:val="00CB3980"/>
    <w:rsid w:val="00CC4B94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8399C"/>
    <w:rsid w:val="00D93DFB"/>
    <w:rsid w:val="00DC4B3D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15560"/>
    <w:rsid w:val="00F17AAA"/>
    <w:rsid w:val="00F247CE"/>
    <w:rsid w:val="00F317E7"/>
    <w:rsid w:val="00F508E9"/>
    <w:rsid w:val="00F5297F"/>
    <w:rsid w:val="00F83C2E"/>
    <w:rsid w:val="00F95CB5"/>
    <w:rsid w:val="00FA21BD"/>
    <w:rsid w:val="00FB7C6C"/>
    <w:rsid w:val="00FD14D1"/>
    <w:rsid w:val="00FD419E"/>
    <w:rsid w:val="00FE6D2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1A4B"/>
  <w15:docId w15:val="{40FB7E31-8694-464F-A0F8-35F414D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FC8E-DFCD-49C6-8B39-C0F5EBAA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User</cp:lastModifiedBy>
  <cp:revision>116</cp:revision>
  <cp:lastPrinted>2023-02-10T05:54:00Z</cp:lastPrinted>
  <dcterms:created xsi:type="dcterms:W3CDTF">2017-03-14T05:00:00Z</dcterms:created>
  <dcterms:modified xsi:type="dcterms:W3CDTF">2024-01-05T05:45:00Z</dcterms:modified>
</cp:coreProperties>
</file>