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5D" w:rsidRDefault="00DC185D" w:rsidP="00DC18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C18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Профилактика туберкулеза у детей.</w:t>
      </w:r>
    </w:p>
    <w:p w:rsidR="00DC185D" w:rsidRPr="00DC185D" w:rsidRDefault="00DC185D" w:rsidP="00DC18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67F8A" w:rsidRPr="00DC185D" w:rsidRDefault="00A47346" w:rsidP="00DC18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Вердикт педиатра о том, что ребенок инфицирован туберкулезом и ему необходимо </w:t>
      </w:r>
      <w:proofErr w:type="gramStart"/>
      <w:r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обследоваться</w:t>
      </w:r>
      <w:proofErr w:type="gramEnd"/>
      <w:r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тубдиспансере, часто является для родителей неожиданным. Как такое могло произойти? Ведь семья-то вполне благополучная! Понять недоумение родителей «домашнего» малыша можно. В общественных местах, в транспорте, магазинах можно встретить больных туберкулезом, а туб</w:t>
      </w:r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еркулезная палочка очень устой</w:t>
      </w:r>
      <w:r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чива к внешним воздействиям. И хотя вероятность заразиться при разовом контакте мала, но </w:t>
      </w:r>
      <w:proofErr w:type="gramStart"/>
      <w:r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</w:t>
      </w:r>
      <w:proofErr w:type="gramEnd"/>
      <w:r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же существует</w:t>
      </w:r>
      <w:r w:rsidR="009C09DB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DC185D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Туберкулез – это одно из самых древних заболеваний</w:t>
      </w:r>
      <w:r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>. Чахотку описывали многие писатели и врачи прошлых веков, но возбудитель туберкулеза был выявлен Робертом Кохом только 24 марта 1882 г., именно поэтому возбудитель туберкулеза в народе получил название</w:t>
      </w:r>
      <w:r w:rsidRPr="00DC185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C185D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палочка Коха</w:t>
      </w:r>
      <w:r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>. А 24 марта – всемирный день борьбы с туберкулезом</w:t>
      </w:r>
      <w:proofErr w:type="gramStart"/>
      <w:r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proofErr w:type="gramEnd"/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ля туберкулеза характерно постепенное, незаметно</w:t>
      </w:r>
      <w:r w:rsidR="009C09DB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начало заболевания. У ребенка</w:t>
      </w:r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развивается так называемая первичная туберкулезная интоксикация. Она проявляется повышенной возбудимостью, быстрым эмоциональным истощением, снижением аппетита, повышением температуры тела до субфебрильных цифр. Туберкулезная инфекция распространяется по лимфатическим путям, поэтому почти всегда в процесс вовлекаются все группы узлов, особенно внутригрудные. Наиболее часто эта болезнь поражает легкие. Основные симптомы - кашель с выделением мокроты, а в поздних стадиях - с кровохарканьем. Если инфицирование не было выявлено своевременно и малыш не прошел курс лечения, могут сформироваться признаки хронической туберкулезной интоксикации: отставание в физическом развитии, бледность кожи, небольшое увеличение </w:t>
      </w:r>
      <w:proofErr w:type="gramStart"/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лимфати ческих</w:t>
      </w:r>
      <w:proofErr w:type="gramEnd"/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узлов всех групп. Эти формы первичного туберкулеза могут быть излечены без остаточных явлений, но ребенок остается инфицированным на всю жизнь, хотя проявлений болезни у него нет</w:t>
      </w:r>
      <w:proofErr w:type="gramStart"/>
      <w:r w:rsidR="009C09DB" w:rsidRPr="00DC18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>рививку против туберкулез</w:t>
      </w:r>
      <w:r w:rsidR="009C09DB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>а проводят в родильном доме на 0 - 4</w:t>
      </w:r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сутки жизни. Иммунитет после прививки сохраняется не всю жизнь, а только определенный срок. Поэтому проводится вторая прививка, когда ребенок идет в школу. Если в родильном доме прививаются при отсутствии противопоказаний все дети, то</w:t>
      </w:r>
      <w:r w:rsidR="009C09DB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</w:t>
      </w:r>
      <w:r w:rsidR="00D26D51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школьного возраста </w:t>
      </w:r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прививаются только с отрицательными пробами Манту! Ее нужно делать регулярно 1 раз в год, независимо от предыдущего результата. Проба Манту - не прививка! Поэтому, даже если ваш ребенок по каким-либо при</w:t>
      </w:r>
      <w:r w:rsidR="00623895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>чинам освобожден от профилакти</w:t>
      </w:r>
      <w:r w:rsidR="00867F8A" w:rsidRPr="00DC185D">
        <w:rPr>
          <w:rFonts w:ascii="Times New Roman" w:hAnsi="Times New Roman" w:cs="Times New Roman"/>
          <w:color w:val="000000" w:themeColor="text1"/>
          <w:sz w:val="24"/>
          <w:szCs w:val="24"/>
        </w:rPr>
        <w:t>ческих прививок, проба Манту должна быть проведена.</w:t>
      </w:r>
    </w:p>
    <w:p w:rsidR="00623895" w:rsidRPr="00DC185D" w:rsidRDefault="00623895" w:rsidP="00DC18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5D">
        <w:rPr>
          <w:rStyle w:val="s1"/>
          <w:color w:val="000000" w:themeColor="text1"/>
          <w:sz w:val="24"/>
          <w:szCs w:val="24"/>
        </w:rPr>
        <w:t>Туберкулиновая проба Манту 2ТЕ</w:t>
      </w:r>
    </w:p>
    <w:p w:rsidR="00623895" w:rsidRPr="00DC185D" w:rsidRDefault="00623895" w:rsidP="00DC185D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> </w:t>
      </w:r>
      <w:r w:rsidRPr="00DC185D">
        <w:rPr>
          <w:rStyle w:val="s0"/>
          <w:b/>
          <w:color w:val="000000" w:themeColor="text1"/>
          <w:sz w:val="24"/>
          <w:szCs w:val="24"/>
        </w:rPr>
        <w:t>Цель применения пробы Манту</w:t>
      </w:r>
      <w:r w:rsidRPr="00DC185D">
        <w:rPr>
          <w:rStyle w:val="s0"/>
          <w:color w:val="000000" w:themeColor="text1"/>
          <w:sz w:val="24"/>
          <w:szCs w:val="24"/>
        </w:rPr>
        <w:t>:</w:t>
      </w:r>
    </w:p>
    <w:p w:rsidR="00623895" w:rsidRPr="00DC185D" w:rsidRDefault="00623895" w:rsidP="00DC185D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>1) выявление лиц, впервые инфицированных МБТ, и с гиперергическими реакциями на туберкулин;</w:t>
      </w:r>
    </w:p>
    <w:p w:rsidR="00623895" w:rsidRPr="00DC185D" w:rsidRDefault="00623895" w:rsidP="00DC185D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>2) отбор контингента для вакцинации и ревакцинации БЦЖ;</w:t>
      </w:r>
    </w:p>
    <w:p w:rsidR="00623895" w:rsidRPr="00DC185D" w:rsidRDefault="00623895" w:rsidP="00DC185D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>3) для раннего выявления заболевания.</w:t>
      </w:r>
    </w:p>
    <w:p w:rsidR="00623895" w:rsidRPr="00DC185D" w:rsidRDefault="00623895" w:rsidP="00DC185D">
      <w:pPr>
        <w:spacing w:after="0" w:line="240" w:lineRule="auto"/>
        <w:jc w:val="both"/>
        <w:rPr>
          <w:rStyle w:val="s0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 xml:space="preserve"> Результат пробы Манту оценивают через 72 часа путем измерения размера инфильтрата (папулы) в миллиметрах (далее - мм), линейкой с миллиметровыми делениями и регистрируют поперечный по отношению к оси предплечья размер инфильтрата. При отсутствии инфильтрата измеряется и регистрируется гиперемия.</w:t>
      </w:r>
    </w:p>
    <w:p w:rsidR="00623895" w:rsidRPr="00DC185D" w:rsidRDefault="00623895" w:rsidP="00DC185D">
      <w:pPr>
        <w:spacing w:after="0" w:line="240" w:lineRule="auto"/>
        <w:ind w:firstLine="400"/>
        <w:jc w:val="both"/>
        <w:rPr>
          <w:rStyle w:val="s0"/>
          <w:b/>
          <w:color w:val="000000" w:themeColor="text1"/>
          <w:sz w:val="24"/>
          <w:szCs w:val="24"/>
        </w:rPr>
      </w:pPr>
      <w:r w:rsidRPr="00DC185D">
        <w:rPr>
          <w:rStyle w:val="s0"/>
          <w:b/>
          <w:color w:val="000000" w:themeColor="text1"/>
          <w:sz w:val="24"/>
          <w:szCs w:val="24"/>
        </w:rPr>
        <w:t>«ДИАСКИНТЕСТ®»</w:t>
      </w:r>
    </w:p>
    <w:p w:rsidR="00623895" w:rsidRPr="00DC185D" w:rsidRDefault="00623895" w:rsidP="00DC185D">
      <w:pPr>
        <w:spacing w:after="0" w:line="240" w:lineRule="auto"/>
        <w:ind w:firstLine="400"/>
        <w:jc w:val="both"/>
        <w:rPr>
          <w:rStyle w:val="s0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 xml:space="preserve"> При трудности интерпретации характера чувствительности к туберкулину, для исключения парааллергических реакций, дети подлежат обязательному проведению лечебно-профилактических мероприятий, в ПТО ставится «ДИАСКИНТЕСТ®» на другом предплечье и читается через 72 часа. </w:t>
      </w:r>
    </w:p>
    <w:p w:rsidR="00623895" w:rsidRPr="00DC185D" w:rsidRDefault="00623895" w:rsidP="00DC185D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>Препарат «ДИАСКИНТЕСТ®» применяется при положительной реакции Манту 2ТЕ только в ПТО:</w:t>
      </w:r>
    </w:p>
    <w:p w:rsidR="00623895" w:rsidRPr="00DC185D" w:rsidRDefault="00623895" w:rsidP="00DC185D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>для выявления туберкулезной инфекции;</w:t>
      </w:r>
      <w:r w:rsidR="009C09DB" w:rsidRPr="00DC185D">
        <w:rPr>
          <w:rStyle w:val="s0"/>
          <w:color w:val="000000" w:themeColor="text1"/>
          <w:sz w:val="24"/>
          <w:szCs w:val="24"/>
        </w:rPr>
        <w:t xml:space="preserve"> </w:t>
      </w:r>
      <w:r w:rsidRPr="00DC185D">
        <w:rPr>
          <w:rStyle w:val="s0"/>
          <w:color w:val="000000" w:themeColor="text1"/>
          <w:sz w:val="24"/>
          <w:szCs w:val="24"/>
        </w:rPr>
        <w:t>дифференциальной диагностики туберкулеза с нетуберкулезными заболеваниями;</w:t>
      </w:r>
      <w:r w:rsidR="009C09DB" w:rsidRPr="00DC185D">
        <w:rPr>
          <w:rStyle w:val="s0"/>
          <w:color w:val="000000" w:themeColor="text1"/>
          <w:sz w:val="24"/>
          <w:szCs w:val="24"/>
        </w:rPr>
        <w:t xml:space="preserve"> </w:t>
      </w:r>
      <w:r w:rsidRPr="00DC185D">
        <w:rPr>
          <w:rStyle w:val="s0"/>
          <w:color w:val="000000" w:themeColor="text1"/>
          <w:sz w:val="24"/>
          <w:szCs w:val="24"/>
        </w:rPr>
        <w:t>дифференциальной диагностики поствакцинальной и инфекционной аллергии;</w:t>
      </w:r>
      <w:r w:rsidR="009C09DB" w:rsidRPr="00DC185D">
        <w:rPr>
          <w:rStyle w:val="s0"/>
          <w:color w:val="000000" w:themeColor="text1"/>
          <w:sz w:val="24"/>
          <w:szCs w:val="24"/>
        </w:rPr>
        <w:t xml:space="preserve"> </w:t>
      </w:r>
      <w:r w:rsidRPr="00DC185D">
        <w:rPr>
          <w:rStyle w:val="s0"/>
          <w:color w:val="000000" w:themeColor="text1"/>
          <w:sz w:val="24"/>
          <w:szCs w:val="24"/>
        </w:rPr>
        <w:t>для определения активности туберкулезного процесса.</w:t>
      </w:r>
      <w:r w:rsidR="009C09DB" w:rsidRPr="00DC185D">
        <w:rPr>
          <w:rStyle w:val="s0"/>
          <w:color w:val="000000" w:themeColor="text1"/>
          <w:sz w:val="24"/>
          <w:szCs w:val="24"/>
        </w:rPr>
        <w:t xml:space="preserve"> </w:t>
      </w:r>
      <w:r w:rsidRPr="00DC185D">
        <w:rPr>
          <w:rStyle w:val="s0"/>
          <w:color w:val="000000" w:themeColor="text1"/>
          <w:sz w:val="24"/>
          <w:szCs w:val="24"/>
        </w:rPr>
        <w:t xml:space="preserve"> «ДИАСКИНТЕСТ®» не используется для отбора к ревакцинации (вакцинации) БЦЖ.</w:t>
      </w:r>
    </w:p>
    <w:p w:rsidR="009C09DB" w:rsidRDefault="00623895" w:rsidP="00D908DD">
      <w:pPr>
        <w:spacing w:after="0" w:line="240" w:lineRule="auto"/>
        <w:ind w:firstLine="400"/>
        <w:jc w:val="both"/>
        <w:rPr>
          <w:rStyle w:val="20"/>
          <w:rFonts w:eastAsiaTheme="minorHAnsi"/>
          <w:b w:val="0"/>
          <w:color w:val="000000" w:themeColor="text1"/>
          <w:sz w:val="24"/>
          <w:szCs w:val="24"/>
        </w:rPr>
      </w:pPr>
      <w:r w:rsidRPr="00DC185D">
        <w:rPr>
          <w:rStyle w:val="s0"/>
          <w:color w:val="000000" w:themeColor="text1"/>
          <w:sz w:val="24"/>
          <w:szCs w:val="24"/>
        </w:rPr>
        <w:t>Реакция на пробу Манту и «ДИАСКИНТЕСТ®»:</w:t>
      </w:r>
      <w:r w:rsidR="00DC185D" w:rsidRPr="00DC185D">
        <w:rPr>
          <w:rStyle w:val="s0"/>
          <w:color w:val="000000" w:themeColor="text1"/>
          <w:sz w:val="24"/>
          <w:szCs w:val="24"/>
        </w:rPr>
        <w:t xml:space="preserve"> </w:t>
      </w:r>
      <w:r w:rsidRPr="00DC185D">
        <w:rPr>
          <w:rStyle w:val="s0"/>
          <w:color w:val="000000" w:themeColor="text1"/>
          <w:sz w:val="24"/>
          <w:szCs w:val="24"/>
        </w:rPr>
        <w:t>отрицательная - отсутствие инфильтрата и гиперемии или наличие «уколочной реакции»;</w:t>
      </w:r>
      <w:r w:rsidR="009C09DB" w:rsidRPr="00DC185D">
        <w:rPr>
          <w:rStyle w:val="20"/>
          <w:rFonts w:eastAsiaTheme="minorHAnsi"/>
          <w:b w:val="0"/>
          <w:color w:val="000000" w:themeColor="text1"/>
          <w:sz w:val="24"/>
          <w:szCs w:val="24"/>
        </w:rPr>
        <w:t xml:space="preserve"> </w:t>
      </w:r>
    </w:p>
    <w:p w:rsidR="00BD1D62" w:rsidRPr="00BD1D62" w:rsidRDefault="00BD1D62" w:rsidP="00BD1D62">
      <w:pPr>
        <w:spacing w:after="0" w:line="240" w:lineRule="auto"/>
        <w:jc w:val="center"/>
        <w:rPr>
          <w:sz w:val="24"/>
          <w:szCs w:val="24"/>
        </w:rPr>
      </w:pPr>
      <w:r w:rsidRPr="00BD1D62">
        <w:rPr>
          <w:rStyle w:val="s1"/>
          <w:sz w:val="24"/>
          <w:szCs w:val="24"/>
        </w:rPr>
        <w:t>Лечение туберкулеза</w:t>
      </w:r>
    </w:p>
    <w:p w:rsidR="00BD1D62" w:rsidRPr="00BD1D62" w:rsidRDefault="00BD1D62" w:rsidP="00BD1D62">
      <w:pPr>
        <w:spacing w:after="0" w:line="240" w:lineRule="auto"/>
        <w:ind w:firstLine="400"/>
        <w:jc w:val="both"/>
        <w:rPr>
          <w:sz w:val="24"/>
          <w:szCs w:val="24"/>
        </w:rPr>
      </w:pPr>
      <w:r w:rsidRPr="00BD1D62">
        <w:rPr>
          <w:rStyle w:val="s0"/>
          <w:sz w:val="24"/>
          <w:szCs w:val="24"/>
        </w:rPr>
        <w:lastRenderedPageBreak/>
        <w:t> </w:t>
      </w:r>
    </w:p>
    <w:p w:rsidR="00BD1D62" w:rsidRPr="00BD1D62" w:rsidRDefault="00BD1D62" w:rsidP="00BD1D62">
      <w:pPr>
        <w:spacing w:after="0" w:line="240" w:lineRule="auto"/>
        <w:ind w:firstLine="400"/>
        <w:jc w:val="both"/>
        <w:rPr>
          <w:sz w:val="24"/>
          <w:szCs w:val="24"/>
        </w:rPr>
      </w:pPr>
      <w:r w:rsidRPr="00BD1D62">
        <w:rPr>
          <w:rStyle w:val="s0"/>
          <w:sz w:val="24"/>
          <w:szCs w:val="24"/>
        </w:rPr>
        <w:t xml:space="preserve"> Лечение больных туберкулезом проводится непрерывно в два этапа:</w:t>
      </w:r>
    </w:p>
    <w:p w:rsidR="00BD1D62" w:rsidRPr="00BD1D62" w:rsidRDefault="00BD1D62" w:rsidP="00BD1D62">
      <w:pPr>
        <w:spacing w:after="0" w:line="240" w:lineRule="auto"/>
        <w:ind w:firstLine="400"/>
        <w:jc w:val="both"/>
        <w:rPr>
          <w:sz w:val="24"/>
          <w:szCs w:val="24"/>
        </w:rPr>
      </w:pPr>
      <w:r w:rsidRPr="00BD1D62">
        <w:rPr>
          <w:rStyle w:val="s0"/>
          <w:sz w:val="24"/>
          <w:szCs w:val="24"/>
        </w:rPr>
        <w:t>1) первый этап - интенсивная фаза - в стационаре, в последующем, после достижения конверсии мазка, продолжается в амбулаторных условиях;</w:t>
      </w:r>
    </w:p>
    <w:p w:rsidR="00BD1D62" w:rsidRPr="00BD1D62" w:rsidRDefault="00BD1D62" w:rsidP="00BD1D62">
      <w:pPr>
        <w:spacing w:after="0" w:line="240" w:lineRule="auto"/>
        <w:ind w:firstLine="400"/>
        <w:jc w:val="both"/>
        <w:rPr>
          <w:sz w:val="24"/>
          <w:szCs w:val="24"/>
        </w:rPr>
      </w:pPr>
      <w:r w:rsidRPr="00BD1D62">
        <w:rPr>
          <w:rStyle w:val="s0"/>
          <w:sz w:val="24"/>
          <w:szCs w:val="24"/>
        </w:rPr>
        <w:t>2) больные без бактериовыделения изначально направляются на лечение в амбулаторных, санаторных, а также в стационарозамещающих условиях по решению централизованной врачебно-консультативной комиссии (далее - ЦВКК);</w:t>
      </w:r>
    </w:p>
    <w:p w:rsidR="00BD1D62" w:rsidRPr="00BD1D62" w:rsidRDefault="00BD1D62" w:rsidP="00BD1D62">
      <w:pPr>
        <w:spacing w:after="0" w:line="240" w:lineRule="auto"/>
        <w:ind w:firstLine="400"/>
        <w:jc w:val="both"/>
        <w:rPr>
          <w:sz w:val="24"/>
          <w:szCs w:val="24"/>
        </w:rPr>
      </w:pPr>
      <w:r w:rsidRPr="00BD1D62">
        <w:rPr>
          <w:rStyle w:val="s0"/>
          <w:sz w:val="24"/>
          <w:szCs w:val="24"/>
        </w:rPr>
        <w:t>3) второй этап - поддерживающая фаза, проводится в амбулаторных, санаторных или стационарозамещающих условиях. Проведение поддерживающей фазы лечения в стационаре по клиническим и социальным показаниям решается ЦВКК.</w:t>
      </w:r>
    </w:p>
    <w:p w:rsidR="00BD1D62" w:rsidRPr="00BD1D62" w:rsidRDefault="00BD1D62" w:rsidP="00BD1D62">
      <w:pPr>
        <w:spacing w:after="0" w:line="240" w:lineRule="auto"/>
        <w:jc w:val="both"/>
        <w:rPr>
          <w:sz w:val="24"/>
          <w:szCs w:val="24"/>
        </w:rPr>
      </w:pPr>
      <w:bookmarkStart w:id="0" w:name="SUB3400"/>
      <w:bookmarkEnd w:id="0"/>
      <w:r>
        <w:rPr>
          <w:rStyle w:val="s0"/>
          <w:sz w:val="24"/>
          <w:szCs w:val="24"/>
        </w:rPr>
        <w:t xml:space="preserve">     </w:t>
      </w:r>
      <w:r w:rsidRPr="00BD1D62">
        <w:rPr>
          <w:rStyle w:val="s0"/>
          <w:sz w:val="24"/>
          <w:szCs w:val="24"/>
        </w:rPr>
        <w:t xml:space="preserve"> Лечение больных туберкулезом, в том числе контроль приема всех предписанных лекарственных средств, проводится под непосредственным наблюдением квалифицированного медицинского работника. С больным до начала лечения проводится беседа о необходимости приема назначаемых ПТП с последующим подписанием информированного согласия (ТБ 14).</w:t>
      </w:r>
    </w:p>
    <w:p w:rsidR="00BD1D62" w:rsidRPr="00BD1D62" w:rsidRDefault="00BD1D62" w:rsidP="00BD1D62">
      <w:pPr>
        <w:spacing w:after="0" w:line="240" w:lineRule="auto"/>
        <w:ind w:firstLine="400"/>
        <w:jc w:val="both"/>
        <w:rPr>
          <w:rFonts w:ascii="Georgia" w:hAnsi="Georgia"/>
          <w:color w:val="333333"/>
          <w:sz w:val="24"/>
          <w:szCs w:val="24"/>
        </w:rPr>
      </w:pPr>
      <w:bookmarkStart w:id="1" w:name="SUB3500"/>
      <w:bookmarkEnd w:id="1"/>
      <w:r w:rsidRPr="00BD1D62">
        <w:rPr>
          <w:rStyle w:val="s0"/>
          <w:sz w:val="24"/>
          <w:szCs w:val="24"/>
        </w:rPr>
        <w:t>В процессе лечения больные ежемесячно взвешиваются, и осуществляется коррекция дозировок ПТП.</w:t>
      </w:r>
      <w:r w:rsidRPr="00BD1D62">
        <w:rPr>
          <w:rFonts w:ascii="Georgia" w:hAnsi="Georgia"/>
          <w:color w:val="333333"/>
          <w:sz w:val="24"/>
          <w:szCs w:val="24"/>
        </w:rPr>
        <w:t xml:space="preserve"> </w:t>
      </w:r>
    </w:p>
    <w:p w:rsidR="00BD1D62" w:rsidRPr="00BD1D62" w:rsidRDefault="00BD1D62" w:rsidP="00BD1D62">
      <w:pPr>
        <w:spacing w:after="0" w:line="240" w:lineRule="auto"/>
        <w:ind w:firstLine="400"/>
        <w:jc w:val="both"/>
        <w:rPr>
          <w:rStyle w:val="20"/>
          <w:rFonts w:eastAsiaTheme="minorHAnsi"/>
          <w:b w:val="0"/>
          <w:color w:val="000000" w:themeColor="text1"/>
          <w:sz w:val="24"/>
          <w:szCs w:val="24"/>
        </w:rPr>
      </w:pPr>
    </w:p>
    <w:p w:rsidR="00721CCA" w:rsidRPr="00721CCA" w:rsidRDefault="00721CCA" w:rsidP="00BD1D62">
      <w:pPr>
        <w:spacing w:after="0" w:line="240" w:lineRule="auto"/>
        <w:ind w:firstLine="40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1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Врач общей практики Чупри</w:t>
      </w:r>
      <w:r w:rsidRPr="00721C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А.Г.</w:t>
      </w:r>
    </w:p>
    <w:sectPr w:rsidR="00721CCA" w:rsidRPr="00721CCA" w:rsidSect="00721CCA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7346"/>
    <w:rsid w:val="00205328"/>
    <w:rsid w:val="002C483C"/>
    <w:rsid w:val="00623895"/>
    <w:rsid w:val="00721CCA"/>
    <w:rsid w:val="00867F8A"/>
    <w:rsid w:val="009C09DB"/>
    <w:rsid w:val="00A47346"/>
    <w:rsid w:val="00AB6596"/>
    <w:rsid w:val="00B76F5D"/>
    <w:rsid w:val="00BD1D62"/>
    <w:rsid w:val="00CD2A95"/>
    <w:rsid w:val="00D26D51"/>
    <w:rsid w:val="00D54F1D"/>
    <w:rsid w:val="00D908DD"/>
    <w:rsid w:val="00DC185D"/>
    <w:rsid w:val="00DD2CBE"/>
    <w:rsid w:val="00FE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BE"/>
  </w:style>
  <w:style w:type="paragraph" w:styleId="2">
    <w:name w:val="heading 2"/>
    <w:basedOn w:val="a"/>
    <w:link w:val="20"/>
    <w:uiPriority w:val="9"/>
    <w:qFormat/>
    <w:rsid w:val="00A47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7346"/>
  </w:style>
  <w:style w:type="character" w:styleId="a3">
    <w:name w:val="Strong"/>
    <w:basedOn w:val="a0"/>
    <w:uiPriority w:val="22"/>
    <w:qFormat/>
    <w:rsid w:val="00A473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73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0">
    <w:name w:val="s0"/>
    <w:basedOn w:val="a0"/>
    <w:rsid w:val="00A4734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rmal (Web)"/>
    <w:basedOn w:val="a"/>
    <w:uiPriority w:val="99"/>
    <w:unhideWhenUsed/>
    <w:rsid w:val="0086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7F8A"/>
    <w:rPr>
      <w:color w:val="0000FF"/>
      <w:u w:val="single"/>
    </w:rPr>
  </w:style>
  <w:style w:type="character" w:customStyle="1" w:styleId="s1">
    <w:name w:val="s1"/>
    <w:basedOn w:val="a0"/>
    <w:rsid w:val="0062389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admin</cp:lastModifiedBy>
  <cp:revision>11</cp:revision>
  <cp:lastPrinted>2016-03-14T09:24:00Z</cp:lastPrinted>
  <dcterms:created xsi:type="dcterms:W3CDTF">2016-03-13T11:35:00Z</dcterms:created>
  <dcterms:modified xsi:type="dcterms:W3CDTF">2016-03-14T11:17:00Z</dcterms:modified>
</cp:coreProperties>
</file>