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B8" w:rsidRPr="009269B8" w:rsidRDefault="009269B8" w:rsidP="008C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Объявление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общего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для занятия вакантной административной государственной должности корпуса «Б» (низов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ая должность)</w:t>
      </w:r>
    </w:p>
    <w:p w:rsidR="008C7876" w:rsidRDefault="008C7876" w:rsidP="008C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269B8" w:rsidRDefault="009269B8" w:rsidP="008C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квалификационные требования к участникам конкурса:</w:t>
      </w:r>
    </w:p>
    <w:p w:rsidR="008C7876" w:rsidRPr="008C7876" w:rsidRDefault="008C7876" w:rsidP="008C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05420" w:rsidRDefault="009269B8" w:rsidP="008C7876">
      <w:pPr>
        <w:spacing w:after="0" w:line="240" w:lineRule="auto"/>
        <w:ind w:firstLine="567"/>
        <w:jc w:val="both"/>
        <w:rPr>
          <w:lang w:val="en-US"/>
        </w:rPr>
      </w:pP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-О-4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***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образование,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c приказом Председателя Агентства Республики Казахстан по делам государственной службы и противодействию коррупции от 13 декабря 2016 года № 85 «Об утверждении Типовых квалификационных требований к административным государственным должностям корпуса «Б»</w:t>
      </w:r>
      <w:r w:rsidR="005054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505420" w:rsidRPr="00505420">
        <w:rPr>
          <w:lang w:val="kk-KZ"/>
        </w:rPr>
        <w:t xml:space="preserve"> </w:t>
      </w:r>
    </w:p>
    <w:p w:rsidR="00505420" w:rsidRPr="00505420" w:rsidRDefault="00505420" w:rsidP="00505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Наличие следующих компетенций: </w:t>
      </w:r>
      <w:r w:rsidRPr="0050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инициативность, </w:t>
      </w:r>
      <w:proofErr w:type="spellStart"/>
      <w:r w:rsidRPr="00505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50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54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аналитичность</w:t>
      </w:r>
      <w:proofErr w:type="spellEnd"/>
      <w:r w:rsidRPr="005054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организованность, этичность, ориентация на качество, ориентация на потребителя, нетерпимость к коррупции</w:t>
      </w:r>
      <w:r w:rsidRPr="005054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Опыт работы не требуется</w:t>
      </w:r>
      <w:r w:rsidR="00CD3F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***</w:t>
      </w:r>
      <w:r w:rsidRPr="00505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420" w:rsidRPr="00505420" w:rsidRDefault="00505420" w:rsidP="008C7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Y="113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2"/>
        <w:gridCol w:w="3546"/>
        <w:gridCol w:w="3687"/>
      </w:tblGrid>
      <w:tr w:rsidR="009269B8" w:rsidRPr="009269B8" w:rsidTr="00CC1C59">
        <w:trPr>
          <w:cantSplit/>
          <w:trHeight w:val="28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B8" w:rsidRPr="009269B8" w:rsidRDefault="009269B8" w:rsidP="008C7876">
            <w:pPr>
              <w:keepNext/>
              <w:keepLines/>
              <w:widowControl w:val="0"/>
              <w:tabs>
                <w:tab w:val="left" w:pos="112"/>
                <w:tab w:val="left" w:pos="959"/>
                <w:tab w:val="left" w:pos="1188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9269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B8" w:rsidRPr="009269B8" w:rsidRDefault="009269B8" w:rsidP="008C7876">
            <w:pPr>
              <w:keepNext/>
              <w:keepLines/>
              <w:tabs>
                <w:tab w:val="left" w:pos="132"/>
                <w:tab w:val="left" w:pos="6663"/>
              </w:tabs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9269B8" w:rsidRPr="009269B8" w:rsidTr="00CC1C59">
        <w:trPr>
          <w:cantSplit/>
          <w:trHeight w:val="45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B8" w:rsidRPr="009269B8" w:rsidRDefault="009269B8" w:rsidP="008C7876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B8" w:rsidRPr="009269B8" w:rsidRDefault="009269B8" w:rsidP="008C7876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9269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B8" w:rsidRPr="009269B8" w:rsidRDefault="009269B8" w:rsidP="008C7876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9269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9269B8" w:rsidRPr="009269B8" w:rsidTr="00CC1C59">
        <w:trPr>
          <w:cantSplit/>
          <w:trHeight w:val="45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B8" w:rsidRPr="009269B8" w:rsidRDefault="009269B8" w:rsidP="008C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6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926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-О-4</w:t>
            </w:r>
            <w:r w:rsidR="00FF704C" w:rsidRPr="00926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B8" w:rsidRPr="009269B8" w:rsidRDefault="009269B8" w:rsidP="008C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926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2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926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B8" w:rsidRPr="009269B8" w:rsidRDefault="009269B8" w:rsidP="008C78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9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112430,81</w:t>
            </w:r>
          </w:p>
        </w:tc>
      </w:tr>
    </w:tbl>
    <w:p w:rsidR="009269B8" w:rsidRPr="009269B8" w:rsidRDefault="009269B8" w:rsidP="008C7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269B8" w:rsidRDefault="009269B8" w:rsidP="008C7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***Примечание: 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в штатном расписании государственного учреждения  должность главного специалиста категория 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-4*** 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являются низовой.</w:t>
      </w:r>
    </w:p>
    <w:p w:rsidR="00E407DC" w:rsidRPr="00E407DC" w:rsidRDefault="00E407DC" w:rsidP="008C7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269B8" w:rsidRPr="009269B8" w:rsidRDefault="009269B8" w:rsidP="008C7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учреждение “Управление здравоохранения Павлодарской области”, 140000, </w:t>
      </w:r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Павлодарская область, </w:t>
      </w:r>
      <w:proofErr w:type="spellStart"/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proofErr w:type="gramStart"/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</w:t>
      </w:r>
      <w:proofErr w:type="gramEnd"/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авлодар</w:t>
      </w:r>
      <w:proofErr w:type="spellEnd"/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9269B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ул.Исы</w:t>
      </w:r>
      <w:proofErr w:type="spellEnd"/>
      <w:r w:rsidRPr="009269B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9269B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Байзакова</w:t>
      </w:r>
      <w:proofErr w:type="spellEnd"/>
      <w:r w:rsidRPr="009269B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151/2</w:t>
      </w:r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кабинет 305, телефон для справок 8(7182) 67-53-10, 67-51-37 электронная почта: 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kense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dz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@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pavlodar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gov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kz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объявляет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общий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для занятия 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вакантн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ой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ой 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ой 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корпуса «Б»:</w:t>
      </w:r>
    </w:p>
    <w:p w:rsidR="009269B8" w:rsidRPr="009269B8" w:rsidRDefault="009269B8" w:rsidP="008C7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Главный специалист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отдела лицензирования и лекарственного обеспечения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здравоохранения Павлодарской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proofErr w:type="spellStart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атегория</w:t>
      </w:r>
      <w:proofErr w:type="spellEnd"/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-О-4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***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индекс должности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-01-2)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9269B8" w:rsidRPr="009269B8" w:rsidRDefault="009269B8" w:rsidP="008C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Функциональные обязанности</w:t>
      </w:r>
      <w:r w:rsidRPr="00926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: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Проведение консультации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лечебно-профилактическим организациям по формированию нормативов потребления наркотических средств, психотропных веществ и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этилового спирта и побочному действию лекарственных средств.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конкурсной </w:t>
      </w:r>
      <w:proofErr w:type="gram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proofErr w:type="spellEnd"/>
      <w:proofErr w:type="gram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проведение процедуры закупа фармацевтических услуг для амбулаторных больных из средств местного бюджета.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Осуществление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потребности по видам заболевания и категориям граждан совместно с областными специалистами и руководителями медицинских организаций области.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Ежеквартальная сдача отчетов в Министерство здравоохранения 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социального развития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Казахстан, отчета по количественному и суммовому движению этилового спирта, каждого наименования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НсПвП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Контролирование своевременного поступления по условиям договора лекарственных средств в аптеки области.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Подготовка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на совещания по всем вопросам лекарственного обеспечения.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Осуществление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лекарственных средств из средств республиканского бюджета по 010 программе, проведение мониторинга за своевременной поставкой препаратов.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Ежеквартальная сдача отчета в Министерство здравоохранения РК по лекарственным средствам  из средств республиканского бюджета 010-110 программе по количественному и суммовому движению. Проведение мониторинга за своевременной поставкой препаратов, представление данных об обеспеченности больных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бесплатными лекарственными препаратами отдельных категорий населения при амбулаторном лечении. Разработка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документации для проведения тендера по закупу лекарственных средств, изделий медицинского назначения для медицинских организаций области.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Ежеквартальное представление данных об 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обеспеченности бесплатными и льготными лекарствен-ными препаратами отдельных категорий населения при амбулаторном лечении за счет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местного 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республиканского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бюджетов.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Контролирование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поступления  лекарственных средств по бесплатным рецептам по условиям договора в аптеки области. Рассмотрение обращений физических и юридических лиц по лекарственному обеспечению.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номенклатурных папок.</w:t>
      </w:r>
    </w:p>
    <w:p w:rsidR="009269B8" w:rsidRPr="009269B8" w:rsidRDefault="009269B8" w:rsidP="008C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926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Требования  к участникам конкурса:</w:t>
      </w:r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 </w:t>
      </w:r>
    </w:p>
    <w:p w:rsidR="009269B8" w:rsidRPr="009269B8" w:rsidRDefault="009269B8" w:rsidP="008C78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ысшее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образование: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ko-KR"/>
        </w:rPr>
        <w:t>в области здравоохранения и социального обеспечения, права, социальных наук, экономики и бизнеса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(общественное здравоохранение, фармация, медико-профилактическое дело, общая медицина, юриспруденция, экономика, учет и аудит).</w:t>
      </w:r>
    </w:p>
    <w:p w:rsidR="009269B8" w:rsidRPr="009269B8" w:rsidRDefault="009269B8" w:rsidP="008C78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должен соответствовать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 приказом Председателя Агентства Республики Казахстан по делам государственной службы и противодействию коррупции от 13 декабря 2016 года № 85 «Об утверждении Типовых квалификационных требований к административным государственным должностям корпуса «Б».</w:t>
      </w:r>
    </w:p>
    <w:p w:rsidR="009269B8" w:rsidRPr="009269B8" w:rsidRDefault="009269B8" w:rsidP="008C7876">
      <w:pPr>
        <w:tabs>
          <w:tab w:val="left" w:pos="1276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Для участия в общем конкурсе предоставляются следующие документы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269B8" w:rsidRPr="009269B8" w:rsidRDefault="009269B8" w:rsidP="008C787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по 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установленной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форме;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26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заполненная анкета с фотографией размером 3х4 по </w:t>
      </w:r>
      <w:r w:rsidRPr="009269B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установленной </w:t>
      </w:r>
      <w:r w:rsidRPr="00926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форме;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3)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образовании, засвидетельствованные нотариально;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4)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трудовую деятельность, засвидетельствованная нотариально;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5)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состоянии здоровья по форме, утвержденной приказом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21 декабря 2010 года № 6697);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6)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 гражданина Республики Казахстан;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7)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 прохождении тестирования на знание законодательства с результатами не ниже пороговых значений, действительный на момент подачи документов (либо нотариально засвидетельствованная копия сертификата);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8)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прохождении оценки личных качеств в уполномоченном органе, действительное на момент подачи документов для участия в конкурсе (либо нотариально засвидетельствованную копию заключения).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Допускается предоставление копии документов, указанных в подпунктах 3), 4), 7), 8). При этом служба управления персоналом сверяет копии документов с подлинниками.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 предоставление копии документа, подтверждающего трудовую деятельность в случае, если гражданин не осуществлял трудовую деятельность и если стаж работы не требуется по вакантной должности, на которую объявлен конкурс.</w:t>
      </w:r>
    </w:p>
    <w:p w:rsidR="009269B8" w:rsidRPr="009269B8" w:rsidRDefault="009269B8" w:rsidP="008C78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неполного пакета документов является основанием для отказа в их рассмотрении конкурсной комиссией.</w:t>
      </w:r>
    </w:p>
    <w:p w:rsidR="009269B8" w:rsidRPr="009269B8" w:rsidRDefault="009269B8" w:rsidP="008C7876">
      <w:pPr>
        <w:tabs>
          <w:tab w:val="left" w:pos="567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должны быть представлены в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течение 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дней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последней публикации объявления о проведении конкурса.</w:t>
      </w:r>
    </w:p>
    <w:p w:rsidR="009269B8" w:rsidRPr="009269B8" w:rsidRDefault="009269B8" w:rsidP="008C787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изъявившие желание участвовать в общем конкурсе, представляют документы в отдел управления персоналом и организационной работы  ГУ “Управление здравоохранения  Павлодарской области” в нарочном порядке, по почте или в электронном виде на адрес электронной почты, указанный в объявлении, либо посредством портала электронного Правительства «Е-</w:t>
      </w:r>
      <w:proofErr w:type="spellStart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gov</w:t>
      </w:r>
      <w:proofErr w:type="spellEnd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интегрированной информационной системы «</w:t>
      </w:r>
      <w:proofErr w:type="gramStart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spellStart"/>
      <w:proofErr w:type="gramEnd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proofErr w:type="spellEnd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сроки приема документов.</w:t>
      </w:r>
    </w:p>
    <w:p w:rsidR="009269B8" w:rsidRPr="009269B8" w:rsidRDefault="009269B8" w:rsidP="008C787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«</w:t>
      </w:r>
      <w:proofErr w:type="gramStart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gov</w:t>
      </w:r>
      <w:proofErr w:type="spellEnd"/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их оригиналы представляются не позднее чем за один рабочий день до начала собеседования. При их непредставлении, лицо не допускается конкурсной комиссией к прохождению собеседования.</w:t>
      </w:r>
    </w:p>
    <w:p w:rsidR="009269B8" w:rsidRPr="009269B8" w:rsidRDefault="009269B8" w:rsidP="008C787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Граждане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публикации, иные сведения, характеризующие их профессиональную деятельность, квалификацию).</w:t>
      </w:r>
    </w:p>
    <w:p w:rsidR="009269B8" w:rsidRPr="009269B8" w:rsidRDefault="009269B8" w:rsidP="008C7876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Кандидаты, допущенные к собеседованию, проходят его в здании </w:t>
      </w: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ГУ «Управление здравоохранения  Павлодарской области»</w:t>
      </w: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</w:t>
      </w:r>
      <w:r w:rsidRPr="00926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рабочих дней</w:t>
      </w:r>
      <w:r w:rsidRPr="00926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уведомления кандидатов о допуске их к собеседованию.</w:t>
      </w:r>
      <w:r w:rsidRPr="0092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269B8" w:rsidRPr="009269B8" w:rsidRDefault="009269B8" w:rsidP="008C7876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тестирования кандидатов на занятие вакантных административных государственных должностей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269B8" w:rsidRPr="009269B8" w:rsidRDefault="009269B8" w:rsidP="008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для категорий </w:t>
      </w:r>
      <w:r w:rsidRPr="009269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D</w:t>
      </w:r>
      <w:r w:rsidRPr="009269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-</w:t>
      </w:r>
      <w:r w:rsidRPr="009269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kk-KZ" w:eastAsia="ru-RU"/>
        </w:rPr>
        <w:t>О</w:t>
      </w:r>
      <w:r w:rsidRPr="009269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-</w:t>
      </w:r>
      <w:r w:rsidRPr="009269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kk-KZ" w:eastAsia="ru-RU"/>
        </w:rPr>
        <w:t>4</w:t>
      </w:r>
      <w:r w:rsidRPr="0092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***</w:t>
      </w:r>
      <w:r w:rsidRPr="009269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включает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тесты на знание государственного языка Республики Казахстан (20 вопросов) продолжительностью 20 минут; тесты на знание </w:t>
      </w:r>
      <w:hyperlink r:id="rId5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(15 вопросов), конституционного закона Республики Казахстан «</w:t>
      </w:r>
      <w:hyperlink r:id="rId6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Президенте Республики Казахстан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(15 вопросов), законов Республики Казахстан «</w:t>
      </w:r>
      <w:hyperlink r:id="rId7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государственной службе Республики Казахстан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(15 вопросов), «</w:t>
      </w:r>
      <w:hyperlink r:id="rId8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противодействии коррупции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(15 вопросов), «</w:t>
      </w:r>
      <w:hyperlink r:id="rId9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административных процедурах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(15 вопросов), «</w:t>
      </w:r>
      <w:hyperlink r:id="rId10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порядке рассмотрения обращений физических и юридических лиц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(15 вопросов), «</w:t>
      </w:r>
      <w:hyperlink r:id="rId11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государственных услугах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(15 вопросов), «</w:t>
      </w:r>
      <w:hyperlink r:id="rId12" w:anchor="z0" w:history="1">
        <w:r w:rsidRPr="00926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местном государственном управлении и самоуправлении в Республике Казахстан</w:t>
        </w:r>
      </w:hyperlink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(15 вопросов).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Значения прохождения тестирования по второй программе составляют не менее 72 правильных ответов от общего количества вопросов (120 вопросов) по всем нормативным правовым актам и не менее 5 правильных ответов по каждому нормативному правовому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</w:t>
      </w:r>
      <w:proofErr w:type="gram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на выполнение тестов на знание законодательства Республики Казахстан по второй программе составляет 100 минут;</w:t>
      </w:r>
    </w:p>
    <w:p w:rsidR="009269B8" w:rsidRPr="009269B8" w:rsidRDefault="009269B8" w:rsidP="00592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</w:t>
      </w:r>
      <w:r w:rsidRPr="00592C4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категорий </w:t>
      </w:r>
      <w:r w:rsidRPr="00592C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D-О</w:t>
      </w:r>
      <w:r w:rsidRPr="00592C4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592C4D"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  <w:t>4</w:t>
      </w:r>
      <w:r w:rsidRPr="00592C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</w:t>
      </w:r>
      <w:r w:rsidRPr="009269B8">
        <w:rPr>
          <w:rFonts w:ascii="Times New Roman" w:eastAsia="Times New Roman" w:hAnsi="Times New Roman" w:cs="Times New Roman"/>
          <w:snapToGrid w:val="0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тесты на  выявление уровня инициативности (12 заданий),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заданий),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аналитичности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заданий), организованности (12 заданий), этичности (12 заданий), ориентации на качество (12 заданий), ориентации на потребителя (12 заданий), нетерпимости к коррупции (12 заданий).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Общее время на выполнение тестов по второй программе составляет 75 минут.</w:t>
      </w:r>
      <w:r w:rsidR="00592C4D" w:rsidRPr="006E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Зоны риска из возможных 4 (четырех) баллов для второй программы: инициативность – 1,5 балла,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1,5 балла,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аналитичность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балла, организованность – 1,5 балла, этичность – 1,5 балла, ориентация на качество – 1,5 балла, ориентация на потребителя – 1 балл, нетерпимость к коррупции – 2 балла.</w:t>
      </w:r>
      <w:proofErr w:type="gramEnd"/>
    </w:p>
    <w:p w:rsidR="00592C4D" w:rsidRDefault="009269B8" w:rsidP="008C7876">
      <w:pPr>
        <w:tabs>
          <w:tab w:val="left" w:pos="1276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прозрачности и объективности работы конкурсной комиссии на ее заседание приглашаются наблюдатели и эксперты. В качестве наблюдателей на заседании конкурной комиссии могут присутствовать депутаты Парламента Республики Казахстан и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маслихатов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уровней, представители средств массовой информации, аккредитованные в порядке, установленном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Республики Казахстан, других государственных органов, общественных объединений (неправительственных организаций), коммерческих организаций и политических партий, сотрудники уполномоченного органа. </w:t>
      </w:r>
    </w:p>
    <w:p w:rsidR="009269B8" w:rsidRPr="009269B8" w:rsidRDefault="009269B8" w:rsidP="008C7876">
      <w:pPr>
        <w:tabs>
          <w:tab w:val="left" w:pos="1276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экспертов могут выступать лица, не являющиеся работниками государственного органа, объявившего конкурс, имеющие опыт работы в областях соответствующих функциональным направлениям вакантной должности, в том числе в научной сфере, а также специалисты по отбору и продвижению персонала, государственные служащие других государственных органов, депутаты Парламента Республики Казахстан и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маслихатов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69B8" w:rsidRPr="009269B8" w:rsidRDefault="009269B8" w:rsidP="008C7876">
      <w:pPr>
        <w:tabs>
          <w:tab w:val="left" w:pos="1276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конкурса и кандидаты могут обжаловать решение конкурсной комиссии в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территориально</w:t>
      </w:r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</w:t>
      </w:r>
      <w:proofErr w:type="spellEnd"/>
      <w:r w:rsidRPr="00926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9269B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судебном порядке в соответствии законодательством Республики Казахстан.</w:t>
      </w:r>
    </w:p>
    <w:p w:rsidR="00EE3D77" w:rsidRDefault="00EE3D77" w:rsidP="008C7876">
      <w:pPr>
        <w:spacing w:after="0" w:line="240" w:lineRule="auto"/>
      </w:pPr>
    </w:p>
    <w:sectPr w:rsidR="00EE3D77" w:rsidSect="009269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34"/>
    <w:rsid w:val="003B2C34"/>
    <w:rsid w:val="00505420"/>
    <w:rsid w:val="00592C4D"/>
    <w:rsid w:val="006E41EF"/>
    <w:rsid w:val="008C7876"/>
    <w:rsid w:val="009269B8"/>
    <w:rsid w:val="00CD3F7D"/>
    <w:rsid w:val="00E407DC"/>
    <w:rsid w:val="00ED031B"/>
    <w:rsid w:val="00EE3D7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5.12.42/rus/docs/Z15000004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245.12.42/rus/docs/Z1500000416" TargetMode="External"/><Relationship Id="rId12" Type="http://schemas.openxmlformats.org/officeDocument/2006/relationships/hyperlink" Target="http://10.245.12.42/rus/docs/Z010000148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245.12.42/rus/docs/Z950002733_" TargetMode="External"/><Relationship Id="rId11" Type="http://schemas.openxmlformats.org/officeDocument/2006/relationships/hyperlink" Target="http://10.245.12.42/rus/docs/Z1300000088" TargetMode="External"/><Relationship Id="rId5" Type="http://schemas.openxmlformats.org/officeDocument/2006/relationships/hyperlink" Target="http://10.245.12.42/rus/docs/K950001000_" TargetMode="External"/><Relationship Id="rId10" Type="http://schemas.openxmlformats.org/officeDocument/2006/relationships/hyperlink" Target="http://10.245.12.42/rus/docs/Z07000022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245.12.42/rus/docs/Z000000107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Temirgalieva</cp:lastModifiedBy>
  <cp:revision>2</cp:revision>
  <dcterms:created xsi:type="dcterms:W3CDTF">2017-02-27T10:33:00Z</dcterms:created>
  <dcterms:modified xsi:type="dcterms:W3CDTF">2017-02-27T10:33:00Z</dcterms:modified>
</cp:coreProperties>
</file>