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7D" w:rsidRPr="00F06A7D" w:rsidRDefault="00F06A7D" w:rsidP="00F06A7D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F06A7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целевых групп лиц, подлежащих </w:t>
      </w:r>
      <w:proofErr w:type="spellStart"/>
      <w:r w:rsidRPr="00F06A7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скрининговым</w:t>
      </w:r>
      <w:proofErr w:type="spellEnd"/>
      <w:r w:rsidRPr="00F06A7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исследованиям, а также правил, объема и периодичности проведения данных исследований</w:t>
      </w:r>
    </w:p>
    <w:p w:rsidR="00F06A7D" w:rsidRPr="00F06A7D" w:rsidRDefault="00F06A7D" w:rsidP="00F06A7D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F06A7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Приказ </w:t>
      </w:r>
      <w:proofErr w:type="spellStart"/>
      <w:r w:rsidRPr="00F06A7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и.о</w:t>
      </w:r>
      <w:proofErr w:type="spellEnd"/>
      <w:r w:rsidRPr="00F06A7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. Министра здравоохранения Республики Казахстан от 30 октября 2020 года № ҚР ДСМ-174/2020. Зарегистрирован в Министерстве юстиции Республики Казахстан 2 ноября 2020 года № 21572.</w:t>
      </w:r>
    </w:p>
    <w:p w:rsidR="00F06A7D" w:rsidRPr="00F06A7D" w:rsidRDefault="00F06A7D" w:rsidP="00F06A7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5" w:history="1">
        <w:r w:rsidRPr="00F06A7D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F06A7D" w:rsidRPr="00F06A7D" w:rsidRDefault="00F06A7D" w:rsidP="00F06A7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F06A7D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F06A7D" w:rsidRPr="00F06A7D" w:rsidRDefault="00F06A7D" w:rsidP="00F06A7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history="1">
        <w:r w:rsidRPr="00F06A7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F06A7D" w:rsidRPr="00F06A7D" w:rsidRDefault="00F06A7D" w:rsidP="00F06A7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history="1">
        <w:r w:rsidRPr="00F06A7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F06A7D" w:rsidRPr="00F06A7D" w:rsidRDefault="00F06A7D" w:rsidP="00F06A7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8" w:history="1">
        <w:r w:rsidRPr="00F06A7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F06A7D" w:rsidRPr="00F06A7D" w:rsidRDefault="00F06A7D" w:rsidP="00F06A7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hyperlink r:id="rId9" w:history="1">
        <w:r w:rsidRPr="00F06A7D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F06A7D" w:rsidRPr="00F06A7D" w:rsidRDefault="00F06A7D" w:rsidP="00F06A7D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F06A7D">
        <w:rPr>
          <w:rFonts w:ascii="Arial" w:eastAsia="Times New Roman" w:hAnsi="Arial" w:cs="Arial"/>
          <w:sz w:val="23"/>
          <w:szCs w:val="23"/>
          <w:lang w:eastAsia="ru-RU"/>
        </w:rPr>
        <w:t>Прочее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0" w:anchor="z1610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87 Кодекса Республики Казахстан от 7 июля 2020 года "О здоровье народа и системе здравоохранения" ПРИКАЗЫВАЮ: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целевые группы лиц, подлежащих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исследованиям согласно </w:t>
      </w:r>
      <w:hyperlink r:id="rId11" w:anchor="z15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правила, объем и периодичность проведения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согласно </w:t>
      </w:r>
      <w:hyperlink r:id="rId12" w:anchor="z17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06A7D" w:rsidRPr="00F06A7D" w:rsidTr="00F06A7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F06A7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Исполняющий обязанности</w:t>
            </w:r>
            <w:r w:rsidRPr="00F06A7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министра здравоохранения</w:t>
            </w:r>
            <w:r w:rsidRPr="00F06A7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F06A7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Ғиният</w:t>
            </w:r>
            <w:proofErr w:type="spellEnd"/>
          </w:p>
        </w:tc>
      </w:tr>
    </w:tbl>
    <w:p w:rsidR="00F06A7D" w:rsidRPr="00F06A7D" w:rsidRDefault="00F06A7D" w:rsidP="00F06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5"/>
            <w:bookmarkEnd w:id="1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Исполняющий обязанности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здравоохранения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30 октября 2020 года № ҚР ДСМ-174/2020</w:t>
            </w:r>
          </w:p>
        </w:tc>
      </w:tr>
    </w:tbl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Целевые группы лиц, подлежащих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скрининговым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исследованиям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795"/>
        <w:gridCol w:w="4015"/>
      </w:tblGrid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исследования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Мужчины и женщины в возрасте 30-70 лет, проходящие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скрининговое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исследование на раннее выявление артериальной гипертонии, ишемической болезни сердца, сахарного диабета, глаукомы,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онкопатологии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раннее выявление поведенческих факторов риска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Мужчины и женщины в возрасте 40-70 лет, не состоящие на динамическом наблюдении с артериальной гипертонией, ишемической болезнью сердца и сахарным диабетом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раннее выявление артериальной гипертонии, ишемической болезни сердца и сахарного диабета.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Мужчины и женщины в возрасте 40-70 лет, не состоящие на динамическом наблюдении с глаукомой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раннее выявление глаукомы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 в возрасте 30-70 лет, не состоящие на динамическом наблюдении с злокачественными новообразованиями шейки матки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раннее выявление рака шейки матки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 в возрасте 40-70 лет, не состоящие на динамическом наблюдении с злокачественными новообразованиями молочной железы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раннее выявление рака молочной железы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Мужчины и женщины в возрасте 50-70 лет,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 раннее выявление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колоректального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рака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Группы риска:1) медицинские работники:- организаций службы крови, проводящие инвазивные процедуры, участвующие в переработке крови; занимающиеся гемодиализом; - 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 - клинических, иммунологических, вирусологических, бактериологических,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паразитологических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лабораторий;2) лица, поступающие на плановые и экстренные оперативные вмешательства;3) пациенты центров и отделений гемодиализа, гематологии, онкологии, трансплантации, сердечно-сосудистой и легочной хирургии;4) 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материалов;5) беременные женщины;6) лица из ключевых групп населения, которые подвергаются повышенному риску заражения ВИЧ-инфекцией в силу особенностей образа жизни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раннее выявление вирусных гепатитов В и С</w:t>
            </w:r>
          </w:p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06A7D" w:rsidRPr="00F06A7D" w:rsidRDefault="00F06A7D" w:rsidP="00F06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7"/>
            <w:bookmarkEnd w:id="2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Исполняющий обязанности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здравоохранения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30 октября 2020 года № ҚР ДСМ-174/2020</w:t>
            </w:r>
          </w:p>
        </w:tc>
      </w:tr>
    </w:tbl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Правила, объем и периодичность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Настоящие правила, объем и периодичность проведения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(далее – Правила) разработаны в соответствии с </w:t>
      </w:r>
      <w:hyperlink r:id="rId13" w:anchor="z1610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87 Кодекса Республики Казахстан от 7 июля 2020 года "О здоровье народа и системе здравоохранения" (далее – Кодекс) и определяют порядок, объем и периодичность проведения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Термины и определения, используемые в настоящем приказе: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терминологическая система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Бетесда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стандартизация результата цитологического исследования;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медицинская информационная система (далее – МИС) — информационная система, обеспечивающая ведение процессов субъектов здравоохранения в электронном формате;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шкала оценки суммарного сердечно-сосудистого риска – шкала оценки риска смертельного сердечно-сосудистого заболевания ближайших 10 лет (далее – шкала SCORE);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индекс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Кетле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показатель оценки гармоничности физического развития организма, соотношение массы тела к росту;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6) классификация системы анализа и протоколирования результатов лучевых исследований молочной железы – стандартизация описаний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маммографических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(далее – классификация BI-RADS).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2.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1. Общий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с последующим динамическим наблюдением и оздоровлением осуществляют организации, оказывающие амбулаторно-поликлиническую помощь (далее – организации АПП), в том числе первично медико-санитарную помощь (далее – организации ПМСП).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для городского населения – организации АПП независимо от форм собственности;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для сельского населения – медицинские пункты, фельдшерско-акушерские пункты, врачебные амбулатории, районные поликлиники независимо от форм собственности, с использованием передвижных медицинских комплексов на базе специального автотранспорта и железнодорожного транспорта (поезд).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Для проведения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организации АПП: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формируют целевые группы лиц, подлежащих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исследованиям, </w:t>
      </w:r>
      <w:proofErr w:type="gram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 числа</w:t>
      </w:r>
      <w:proofErr w:type="gram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прикрепленного к медицинской организации населения;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обеспечивают преемственность с профильными медицинскими организациями для проведения данных исследований;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информируют население о необходимости прохождения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вносят данные о прохождении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в МИС;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проводят ежемесячный анализ проведенных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с предоставлением информации в местные органы государственного управления здравоохранением до 5 числа месяца, следующим за отчетным.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не проводятся лицам, находящимся на динамическом наблюдении, по профилю заболевания которого проводится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Проведение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включает: подготовительный этап, этап осмотра и (или) исследования, заключительный этап.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Подготовительный этап осуществляется средним медицинским персоналом в организациях АПП: медицинский пункт, фельдшерско-акушерский пункт, районная, городская поликлиника включает: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ежегодное формирование и составление списка целевых групп, подлежащих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исследованиям в предстоящем году, до 15 ноября календарного года с последующей ежемесячной коррекцией целевых групп;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оповещение целевых групп населения о необходимости и условиях прохождения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приглашение целевой группы населения на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обеспечение своевременного прохождения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целевыми группами населения.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Этап осмотра проводится в соответствии с порядком проведения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согласно </w:t>
      </w:r>
      <w:hyperlink r:id="rId14" w:anchor="z59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параграфам 2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hyperlink r:id="rId15" w:anchor="z205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6. Средний медицинский работник или ответственное лицо организации ПМСП по результатам проведенного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сверяет список пациентов целевой группы, приглашенных на обследование, прошедших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 и направленных на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Направление вводится в МИС и передается посредством информационного взаимодействия.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Заключительный этап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включает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постановку на динамическое наблюдение лиц с выявленной патологией, завершение заполнения данных в МИС. На данном этапе врач или ответственное лицо организации АПП вносит результаты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с выделением факторов риска (поведенческих, биологических), заключительного диагноза в МИС, дает рекомендации по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наблюдению.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11. По окончании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врач или ответственное лицо организации АПП с учетом заключения профильных специалистов и лабораторно-диагностических исследований определяет следующие группы динамического наблюдения: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1А группа – здоровые без факторов риска: лица, не предъявляющие никаких жалоб и у которых в анамнезе и во время осмотра не выявлены хронические</w:t>
      </w:r>
      <w:r w:rsidRPr="00F06A7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заболевания</w:t>
      </w: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факторы риска или нарушения функций отдельных органов и систем;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1Б группа – здоровые с факторами риска: лица с выявленными факторами риска, пограничными состояниями, нуждающиеся в наблюдении и профилактическом вмешательстве (лица,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характеристик, не влияющие на функциональную деятельность организма);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2 группа – практически здоровые: лица, имеющие в анамнезе острое и хроническое заболевание без обострений в течение последних 2 лет;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3 группа – больные: лица, нуждающиеся в динамическом наблюдении, лечении и оздоровлении.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Здоровые (1А, 1Б группы) и практически здоровые (2 группа) лица проходят: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последующее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 в организации АПП согласно </w:t>
      </w:r>
      <w:proofErr w:type="gram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периодичности</w:t>
      </w:r>
      <w:proofErr w:type="gram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соответствующего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оздоровление в кабинете здорового образа жизни, школе по профилю заболеваний организаций АПП и службы здорового образа жизни.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Выявленные в ходе осмотров лица с хроническими заболеваниями подлежат учету и динамическому наблюдению согласно перечню хронических заболеваний, подлежащих динамическому наблюдению, утвержденному в соответствии со </w:t>
      </w:r>
      <w:hyperlink r:id="rId16" w:anchor="z1614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88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Кодекса с последующим проведением комплекса лечебно-профилактических мероприятий, направленных на восстановление, оздоровление и укрепление здоровья. При выявлении острых заболеваний проводится обследование, лечение с последующей оценкой состояния здоровья до полного выздоровления.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14. Лица, которым проводились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исследования, информируются врачом или ответственным лицом организации АПП о результатах обследования с выдачей соответствующих рекомендаций.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2.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 на раннее выявление поведенческих факторов риска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На этапе осмотра на раннее выявление поведенческих факторов риска (избыточная масса тела, ожирение, физическая активность, курение, потребление алкоголя в опасных дозах) исследуются все лица целевых групп на раннее выявление артериальной гипертонии, ишемической болезни сердца, сахарного диабета, глаукомы,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онкопатологии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Выявление поведенческих факторов риска проводится средним медицинским персоналом организации АПП или ответственным лицом организации АПП путем проведения опроса по анкете и внесение данных в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Врач или средний медицинский персонал организации АПП по результатам опроса: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профилактическую консультацию и предоставляет подробные рекомендации по изменению поведения;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направляет в профильную школу здоровья.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3.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 на раннее выявление артериальной гипертонии, ишемической болезни сердца и сахарного диабета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 на раннее выявление артериальной гипертонии, ишемической болезни сердца и сахарного диабета проводится в два этапа.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Первый этап проводится средним медицинским персоналом организации АПП или ответственным лицом организации АПП, предназначен для всей целевой группы и включает: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проведение антропометрических измерений (вес, рост, объем талии), вычисление индекса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Кетле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проведение опроса по анкете;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двукратное измерение артериального давления (далее – АД) с интервалом в 1-2 минуты в положении сидя. Перед измерением АД обследуемое лицо сидит 3-5 минут;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проведение экспресс-диагностики общего холестерина и глюкозы крови (при отсутствии такового оборудования, биоматериал (кровь) пациента направляется в лабораторию);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ввод данных в МИС;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На втором этапе врач организации АПП или ответственное лицо организации АПП использует шкалу SCORE для определения сердечно-сосудистого риска и принятия решения о дальнейшем ведении обследуемого лица: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лицам с низким сердечно-сосудистым риском (до 1% по шкале SCORE) рекомендует проведение последующего осмотра через 2 года, дает рекомендации по ведению здорового образа жизни с целью сохранения низкого сердечно-сосудистого риска;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 с умеренным сердечно-сосудистым риском (&gt; 1% до </w:t>
      </w:r>
      <w:proofErr w:type="gram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&lt; 5</w:t>
      </w:r>
      <w:proofErr w:type="gram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% по шкале SCORE) направляет в школу по профилю заболевания (далее - школа здоровья) с целью снижения или стабилизации сердечно-сосудистого риска;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 с высоким и очень высоким сердечно-сосудистым риском (&gt; 5% по шкале SCORE) направляет на электрокардиографию. При обнаружении изменений на ЭКГ, уровне холестерина более 5,0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ммоль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/л, артериальном давлении выше 140/90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мм.рт.ст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., а также при отклонении частоты сердечных сокращений от нормы обследуемый направляется на прием врача общей практики (далее – ВОП) и (или) участкового терапевта, который по показаниям направляет обследуемого на консультацию кардиолога. При выявлении у пациента болезней системы кровообращения (далее – БСК) ВОП или участковый терапевт ставит обследуемого на динамическое наблюдение, при отсутствии БСК направляет в школу здоровья с целью снижения сердечно-сосудистого риска;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 выявлении повышенного уровня глюкозы крови (более 7,0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ммоль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/л) направляет пациента на консультацию участкового терапевта и (или) ВОП по месту жительства. При наличии клинических признаков сахарного диабета, а также при наличии у обследуемого индекса массы тела ≥ 25 кг/м² с одним или несколькими дополнительными факторами риска ВОП или участковый терапевт направляет на дополнительные исследования, по показаниям направляет на консультацию к эндокринологу;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вводит данные в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Кардиолог, эндокринолог медицинской организации или ВОП и (или) участковый терапевт по месту жительства проводит последующее обследование согласно протоколам диагностики и лечения, по показаниям направляет в специализированные медицинские организации. Результаты обследования вводятся и передаются посредством информационного взаимодействия МИС.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4.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исследования на раннее выявление глаукомы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22. На этапе осмотра </w:t>
      </w:r>
      <w:proofErr w:type="gram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 раннее выявления</w:t>
      </w:r>
      <w:proofErr w:type="gram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глаукомы средний медицинский работник или ответственное лицо организации АПП: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опрос;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измеряет внутриглазное давление по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Маклакову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с использованием бесконтактного тонометра;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вводит данные в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При положительных ответах при опросе и повышенном внутриглазном давлении (свыше 25 мм ртутного столба при тонометрии по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Маклакову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свыше 20 мм ртутного столба при бесконтактной тонометрии), а также при разнице в показателях внутриглазного давления на правом и левом глазу более 5 мм ртутного столба направляет пациента к офтальмологу консультативно-диагностического отделения (далее – КДО) и (или) консультативно-диагностического центра (далее – КДЦ) посредством информационного взаимодействия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24. Офтальмолог КДО и (или) КДЦ проводит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 показаниям направляет в глаукомный кабинет. Результаты обследования вводятся и передаются посредством информационного взаимодействия МИС.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5.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исследования на раннее выявление рака шейки матки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При прохождении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на раннее выявление рака шейки матки дополнительно на подготовительном этапе средний медицинский работник или ответственное лицо организации АПП информирует пациентку о требованиях к прохождению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исследований: исключить половые сношения, влагалищные манипуляции, включая спринцевание, ванночки, тампоны за сутки до осмотра.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Этап обследования на раннее выявление рака шейки матки включает: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цитологическое исследование мазка из шейки матки с окраской по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Папаниколау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Рар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-тест), которое проводится традиционным методом или с использованием метода жидкостной цитологии с интерпретацией по Терминологической системе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Бетесда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2001 (далее – ТСБ);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углубленную диагностику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кольпоскопию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биопсию, гистологическое исследование) при цитологических заключениях по ТСБ: атипичные клетки плоского эпителия, не позволяющие исключить высокую степень плоскоклеточного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интраэпителиального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поражения (далее – ASC-H), высокая степень плоскоклеточного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интраэпителиального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поражения (далее – HSIL), в том числе карцинома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in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situ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(далее – CIS), атипические железистые клетки (далее – AGС),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аденокарцинома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in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situ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(далее – AIS), рак.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Средний медицинский работник или ответственное лицо организации АПП направляет в смотровой кабинет организации АПП.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Забор материала на цитологическое исследование осуществляется в кабинете акушерского приема (смотровой) организации АПП.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Акушер в кабинете акушерского приема (смотровой) организации АПП: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осматривает шейку матки в зеркалах;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осуществляет взятие мазков на цитологическое исследование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Рар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-тест) традиционным методом (одно стекло) или методом жидкостной цитологии (один контейнер);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заполняет направление на цитологическое исследование и направляет биоматериал в цитологическую лабораторию. Направление вводится в МИС и передается посредством информационного взаимодействия;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осуществляет контроль за получением результатов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Рар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-теста из цитологической лаборатории;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вносит данные в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 получения результатов и информирования пациентов о результатах осмотра не превышает двух недель.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30. Цитологическое исследование проводится в цитологической лаборатории с пропускной способностью не менее 15000 исследований по поводу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ежегодно, сотрудники которой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цитопатологи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специалисты лабораторного дела с высшим медико-биологическим и биологическим образованием,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цитотехнологи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регулярно проходят специальную подготовку (обучение на кафедре постдипломной подготовки по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онкоцитологии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Регистратор цитологической лаборатории,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цитотехнолог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регистрирует поступившие стекла, контейнеры в журнале цитологических исследований, проводимых в рамках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исследования, вносит данные в МИС;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направляет результаты цитологического исследования в организацию АПП посредством информационного взаимодействия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Углубленная диагностика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кольпоскопия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биопсия) проводится по показаниям при цитологическом заключении ASC-H, HSIL, AGС, рак акушер-гинекологом организации АПП, КДЦ, прошедшим специальную подготовку (обучение) по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кольпоскопии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онкогинекологом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внесением результатов исследования в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Наличие эрозии без подтверждающего цитологического результата не является показанием для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кольпоскопии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 время</w:t>
      </w:r>
      <w:proofErr w:type="gram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Гистологическое исследование проводится в лаборатории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патоморфологии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патологоанатомического бюро. Морфологическая интерпретация биоптата осуществляется в соответствии с рекомендациями Всемирной организации здравоохранения.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Врач или ответственное лицо организации АПП: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при получении результатов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Рар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-теста по ТСБ: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"Качество мазка неадекватное или недостаточно адекватное, клеточный состав в состоянии лизиса" - приглашает пациентку на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 повторно;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"Нет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интраэпителиальных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поражений или злокачественности" (норма) – рекомендует пациентке проведение последующего цитологического исследования через 4 года;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"Воспалительный процесс или микроорганизмы" - направляет на лечение и санацию у врача гинеколога организации АПП;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"Другие изменения эпителиальных клеток" (реактивные клеточные изменения, связанные с воспалением, облучение, использование внутриматочных контрацептивных средств, атрофия) – рекомендует пациентке проведение последующего цитологического исследования через 4 года;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Атипия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эпителиальных клеток неопределенного значения" (ASC-US), "Низкая степень плоскоклеточного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интраэпителиального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поражения" (LSIL) – направляет на лечение к врачу-гинекологу организации АПП с проведением цитологического контроля через 6 и 12 месяцев. При персистенции или утяжелении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цитограммы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рекомендует проведение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кольпоскопии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биопсией;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ASC-H, HSIL (включая CIS), AGС (включая AIS), рак – направляет пациентку на углубленную диагностику к акушер-гинекологу организации АПП, КДЦ, прошедшему специальную подготовку по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кольпоскопии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онкогинекологу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онкологического центра (далее – ОЦ);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получении гистологических результатов биопсии шейки матки: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цервикальная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интраэпителиальная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неоплазия первой, второй и третьей степени (далее – CIN 1, CIN 2, CIN 3) направляет пациентку на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лечение и динамическое наблюдение у гинеколога организации АПП с проведением цитологического контроля через 6 и 12 месяцев;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CIS, AIS, рак направляет пациентку в ОЦ для лечения и динамического наблюдения;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все пациентки после лечения CIN 2, CIN 3, CIS, AIS наблюдаются у гинеколога организации АПП с проведением контрольных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Рар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-тестов через 2, 6, 12 и 24 месяцев. По показаниям (положительный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Рар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 в контроле) проводится консультация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онкогинеколога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сообщает результаты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обследования пациентке любым доступным способом (по телефону, письменно, посредством электронных средств коммуникации);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вносит результаты цитологического и гистологического исследования, рекомендации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онкогинеколога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ОЦ в МИС.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6.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исследования на раннее выявление рака молочной железы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Этап обследования на раннее выявление рака молочной железы включает: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проведение маммографии обеих молочных желез в двух проекциях – прямой и косой в кабинете маммографии городской, районной поликлиники (передвижного медицинского комплекса). Все цифровые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маммограммы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наличии системы архивирования и передачи медицинских изображений копируются на компакт-диски и другие электронные носители и передаются на сервер кабинета маммографии ОЦ с помощью специализированного лицензионного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програмного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обеспечения, интегрированного </w:t>
      </w: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между медицинскими организациями; в случае невозможности цифровой передачи - распечатываются на рентгенографической пленке в масштабе 1:1 – 100% (1 пациентка – 1 комплект – 2 или 4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маммограммы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с последующей передачей в кабинет маммографии ОЦ;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интерпретацию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классификации BI-RADS (М0т, М0д, М1, М2, М3, М4, М5) двумя и более независимыми врачами-рентгенологами одной медицинской организации (ОЦ) – двойное чтение или разных медицинских организаций: врачом-рентгенологом кабинета маммографии городской, районной поликлиники (передвижного медицинского комплекса) – первое чтение, и врачом-рентгенологом кабинета маммографии ОЦ – второе чтение;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углубленную диагностику – прицельная маммография, ультразвуковое исследование (далее – УЗИ) молочных желез,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трепанобиопсия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том числе под контролем УЗИ или стереотаксическим контролем для гистологического исследования, которая проводится в случае выявления патологических изменений на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маммограммах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(М0д) в кабинете маммографии ОЦ.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34. Средний медицинский работник или ответственное лицо организации АПП направляет пациентку на маммографию в районную, городскую поликлиники.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35.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Рентгенлаборант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кабинета маммографии городской, районной поликлиники (передвижного медицинского комплекса) проводит маммографию, заполняет направление на двойное чтение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вводит информацию в МИС и передает направление посредством информационного взаимодействия.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Врач-рентгенолог кабинета маммографии городской, районной поликлиники (передвижного медицинского комплекса):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выполняет требования к безопасности и качеству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маммографических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оценивает качество предоставленных изображений и правильность укладки;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категории М0т (технические погрешности проведения маммографии) выполняет повторную маммографию;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определяет рентгенологическую плотность молочных желез по шкале ACR (A, B, C, D) с указанием данного параметра в протоколе исследования;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проводит первое чтение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интерпретацией результатов по классификации BI-RADS. При категории М0д (неопределенные или подозрительные рентгенологические изменения, требующие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в протоколе исследования указывает преимущественную патологию: образование,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ассимметрия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нарушение архитектоники,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микрокальцинаты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направляет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маммограммы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электронные копии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посредством системы архивирования и передачи медицинских изображений на рабочее место МИС кабинета маммографии ОЦ вместе с направлениями на двойное чтение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направляет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низкодозные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компьютерные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томографические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изображения (далее – НДКТ-изображения) посредством системы архивирования и передачи медицинских изображений на рабочее место МИС кабинета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компютерной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томографии ОЦ вместе с копиями изображений, записанных на компакт-дисках или других электронных носителях и направлениями на двойное чтение НДКТ-изображений.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Врач-рентгенолог кабинета маммографии ОЦ: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оценивает качество предоставленных изображений и правильность укладки. Просмотр цифровых рентгенологических изображений, переданных на сервер или на цифровом носителе (CD, DVD) осуществляется на мониторе для интерпретации цифровых рентгенологических снимков с разрешением не менее 5 мегапикселей, имеющем сертифицированную передачу градаций серого цвета в соответствии со стандартом DICOM;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проводит двойное (второе) чтение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интерпретацией результатов по классификации BI-RADS, с использованием, при необходимости, архивных снимков. По показаниям организует третью читку. При двойном чтении осуществляется независимая интерпретация снимков (метод ослепления – второй рентгенолог не знает результаты первого чтения);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категории М0т (технические погрешности проведения маммографии) рекомендует повторную маммографию;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категории М0д (неопределенные или подозрительные рентгенологические изменения, требующие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в протоколе исследования указывает преимущественную патологию: образование;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ассимметрия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нарушение архитектоники,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микрокальцинаты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рекомендует организации АПП по показаниям пригласить пациентку на углубленную диагностику (прицельную маммографию, УЗИ молочных желез,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трепанобиопсию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том числе под контролем УЗИ или стереотаксическим контролем с последующим гистологическим исследованием материала);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осуществляет сбор и архивирование всех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(пленки и электронные носители), сделанных в рамках осмотра. Срок хранения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менее 3 лет после выхода из возраста, подлежащего к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скрининговому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исследованию;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результаты двойного (второго) чтения передаются в организации АПП, вносятся специалистами в МИС и передаются посредством информационного взаимодействия.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38. Показаниями для углубленной диагностики являются заключения двойного чтения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маммограмм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М0д (неопределенные или подозрительные рентгенологические изменения, требующие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Углубленная диагностика проводится в два этапа. На первом этапе проводится УЗИ, по показаниям прицельная маммография, возможно с увеличением (при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ассимметрии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нарушении архитектоники и наличии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микрокальцинатов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). При визуализации подозрительной патологии (М4 и М5) проводится второй этап –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трепанбиопсия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том числе под контролем УЗИ и стереотаксическим контролем для гистологического исследования.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Гистологическое исследование проводится в лаборатории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патоморфологии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патологоанатомического бюро. Морфологическая интерпретация биоптата осуществляется в соответствии с рекомендациями Всемирной организации здравоохранения.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39. Врач или ответственное лицо организации АПП: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получении результата маммографии по классификации BI-RADS: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М0т (технические погрешности проведения маммографии) – направляет пациентку на повторное рентгенологическое исследование в кабинет маммографии городской, районной поликлиники (передвижного медицинского комплекса);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 М0д (неопределенные или подозрительные рентгенологические изменения, требующие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– направляет пациентку на углубленную диагностику в кабинет маммографии ОЦ;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М1 (изменений не выявлено) – рекомендует пациентке проведение последующего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маммографического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обследования через 2 года. При рентгенологической плотности молочных желез C и D направляет на УЗИ молочных желез для исключения ложноотрицательного результата маммографии;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М2 (доброкачественные изменения) направляет пациентку на консультацию к онкологу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маммологу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КДО, КДЦ с последующим прохождением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маммографического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обследования через 2 года;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М3 (вероятные доброкачественные изменения) – направляет пациентку на краткосрочное динамическое лучевое наблюдение к участковому врачу или ВОП с рекомендацией контрольной маммографии или УЗИ через 6 месяцев;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М4 (признаки, вызывающие подозрение на злокачественность), М5 (практически достоверные признаки злокачественности) и при технической невозможности проведения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трепанбиопсии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отказе от биопсии – направление к онкологу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маммологу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КДО, КДЦ для динамического наблюдения и решения вопроса о верификации выявленной патологии;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получении результата гистологического исследования: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доброкачественное образование – направляет пациентку к онкологу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маммологу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КДО, КДЦ для динамического наблюдения с последующим прохождением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маммографического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обследования через 2 года;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образование с неопределенным злокачественным потенциалом или карцинома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in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situ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направляет пациентку в ОЦ на консультацию и лечение с последующим динамическим наблюдением у онколога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маммолога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КДО, КДЦ по месту ее прикрепления;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злокачественное новообразование – направляет пациентку в ОЦ для лечения и динамического наблюдения;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сообщает результаты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обследования пациентке любым доступным способом (по телефону, письменно, посредством электронных средств коммуникации);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вносит результаты двойного чтения, углубленной диагностики, гистологического исследования, рекомендации врача-рентгенолога кабинета маммографии ОЦ в МИС.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7.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исследования на раннее выявление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колоректального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рака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40. При прохождении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</w:t>
      </w:r>
      <w:proofErr w:type="gram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 раннее выявления</w:t>
      </w:r>
      <w:proofErr w:type="gram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колоректального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рака, дополнительно на подготовительном этапе средний медицинский работник или ответственное лицо организации АПП информирует пациентов целевой группы о требованиях к прохождению осмотра: исследование не проводится в период менструации, при наличии кровоточащего геморроя, крови в моче или после значительных усилий при дефекации.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Во время проведения осмотра и исследований данные вносятся специалистами в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42. Этап обследования на раннее выявление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колоректального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рака включает: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проведение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-теста, основанного на иммунохимическом или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иммунохроматографическом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методе определения скрытой крови в кале с диагностическим порогом (точкой отсечения) 50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нг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/мл гемоглобина, который проводится в домашних условиях после получения теста и разъяснения правил проведения исследования;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тотальную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положительном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-тесте с биопсией патологических участков слизистой кишечника, которая проводится в случае их выявления. Тотальная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проводится в отделениях (кабинетах)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оснащенных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видеоэндоскопическим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оборудованием с поддержкой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узкоспектральной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эндоскопии, возможностью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видеофиксации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исследований, хирургическим инструментарием для взятия биопсии и проведения малоинвазивных хирургических вмешательств (одномоментное удаление полипов), аппаратом автоматической обработки эндоскопического оборудования предпочтительно со встроенной функцией печати времени обработки эндоскопа, водоструйной помпой для отмывания слизистой кишечника от слизи,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инсуффлятором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углекислого газа.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43. Средний медицинский работник организации АПП для проведения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-теста в домашних условиях разъясняет, что для исследования используется небольшая часть стула, помещенного в чистой, сухой емкости; забор материала проводится с использованием наконечника контейнера путем введения в разные места стула; после забора материала крышка </w:t>
      </w: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закручивается, контейнер несколько раз встряхивается; 3 капли раствора со взвешенными частицами кала наносятся в специальное окошко тест-карты; интерпретация теста проводится согласно времени, указанному производителем.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Результаты теста должны быть воспроизведены на бумаге с указанием полосок на уровнях Т (тест) и С (контроль) или сфотографированы на камеру и предъявлены среднему медицинскому работнику организации АПП для подтверждения достоверности проведенного исследования.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показаниям тест проводится в условиях организации АПП.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Оценка результата теста проводится самим пациентом, если тест проводится в домашних условиях, либо медицинским работником в поликлинике: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появление двух полосок на уровне Т (тест) и С (контроль) расценивается как положительный результат (наличие крови в кале);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появление одной полоски на уровне С расценивается как отрицательный результат (отсутствие крови в кале);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появление одной полоски на уровне Т расценивается как ошибочный результат;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отсутствие полоски на уровне С расценивается как ошибочный результат.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некорректного результата, тест необходимо повторить.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Положительный результат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-теста, проведенный в домашних условиях, необходимо подтвердить врачом или ответственным лицом организации АПП.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Результаты теста доводятся до пациента и среднего медицинского работника или ответственного лица организации АПП в течение 3 рабочих дней после их получения.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45. Врач или ответственное лицо организации АПП: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вносит результаты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-теста в МИС;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информирует пациента о необходимости проведения исследования, методике исследования, подготовке к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направляет на тотальную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которая проводится при положительном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-тесте, вводит в МИС и передает направление посредством информационного взаимодействия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Врач отделения эндоскопии: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проводит оценку чистоты кишечника по Бостонской шкале оценки подготовки кишечника.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проводится при оценке 6 и более баллов. При оценке ниже 6 баллов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проводится повторно после тщательной подготовки кишечника;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проводит биопсию образований слизистой по показаниям. Гистологическое исследование биоптата слизистой толстой кишки производится в патоморфологической лаборатории или патологоанатомическом бюро. Морфологическая интерпретация биоптата осуществляется в соответствии с рекомендациями Всемирной организации здравоохранения;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проводит одномоментную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полипэктомию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клипированием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электрокоагуляцией при выявлении полипов при наличии соответствующего инструментария, либо "холодную"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полипэктомию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полипах размерами до 1,0 см;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вносит результаты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(непосредственные после исследования и после получения гистологического заключения),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развившиеся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процедуре осложнения в МИС;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осуществляет комплекс санитарно-гигиенических мероприятий по безопасному проведению эндоскопических процедур с целью исключения инфицирования лиц, проходящих эндоскопическое исследование.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47. 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очистки, дезинфекции высокого уровня, промывки и продувки эндоскопа с использованием аппарата автоматической обработки эндоскопического оборудования.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Медицинская сестра отделения эндоскопии: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регистрирует проведение исследования в МИС;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маркирует, регистрирует и направляет взятый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биопсийный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материал в патоморфологическую лабораторию или патологоанатомическое бюро в соответствии с установленными правилами с указанием на сопроводительном бланке отметки "Материал взят по скринингу";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направляет результаты эндоскопического исследования в организацию АПП посредством информационного взаимодействия МИС.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49. Врач или ответственное лицо организации АПП: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при получении результатов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-теста: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отрицательного (отсутствия скрытой крови в кале) рекомендует проведение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через 2 года;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положительного (наличие скрытой крови в кале), но при отказе пациента от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подписанного пациентом или его законными представителями и вклеенного в медицинскую карту амбулаторного пациента, или наличии медицинских противопоказаний к проведению эндоскопического исследования, проводит беседу с пациентом, включает в группу риска с контрольным проведением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-теста, направляет на консультацию к хирургу или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колопроктологу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КДО, КДЦ;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получении результатов эндоскопического исследования: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без патологии (СS 1) – рекомендует проведение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-теста в рамках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через 2 года;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наследственные заболевания толстой кишки и аномалии ее развития (СS 2), хронические воспалительные заболевания кишки (СS 3) – направляет к гастроэнтерологу или </w:t>
      </w:r>
      <w:proofErr w:type="gram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хирургу</w:t>
      </w:r>
      <w:proofErr w:type="gram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колопроктологу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КДО, КДЦ;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аденомы,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аденоматозные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полипы (СS 4) – рекомендует лечение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полипэктомия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динамическое наблюдение у онколога, хирурга или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колопроктолога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КДО, КДЦ с контрольным проведением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колоноскопии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4-6 месяцев после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полипэктомии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доброкачественные новообразования, пограничные опухоли (СS 5) – направляет в ОЦ для определения тактики лечения и динамического наблюдения;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злокачественное новообразование толстой кишки с морфологической верификацией или без, размерами до 1 см и более 1 см (СS 6-9) – направляет на лечение в ОЦ с последующим динамическим наблюдением у онколога в организации АПП по месту жительства;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вводит результаты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гемокульт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-теста,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дообследования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рекомендации специалистов в МИС.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8. Порядок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скринингового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исследования групп риска на раннее выявление вирусных гепатитов В и С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50.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групп риска взрослого и детского населения на раннее выявление вирусных гепатитов В и С состоят из следующих этапов: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направление средним медицинским работником или ответственным лицом организации АПП обследуемого на исследование на обнаружение вирусных гепатитов В и С в лабораторию организации здравоохранения, осуществляющую лабораторную диагностику парентеральных вирусных гепатитов с заполнением данных в МИС и передачей направления посредством информационного взаимодействия;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проведение лабораторного обследования на определение маркеров вирусных гепатитов В и С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HBsAg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-HCV-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total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серологическими методами исследования (хемилюминесценции или иммуноферментного анализа) с введением результатов анализов в МИС и передачей направления посредством информационного взаимодействия;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при отрицательных результатах серологического исследования на определение маркеров вирусных гепатитов В и С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HBsAg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-HCV-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total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 завершается;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при положительном результате серологического исследования на определение маркера вирусного гепатита В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HBsAg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врач организации АПП направляет пациента на консультацию к врачу-гастроэнтерологу и (или) инфекционисту для дополнительного обследования с последующим динамическим наблюдением и оздоровлением у специалистов организации АПП и (или) центров гастроэнтерологии 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гепатологии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месту прикрепления;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при положительном результате серологического исследования на определение маркера вирусного гепатита С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-HCV-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total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проводится молекулярно-биологическое исследование на определение РНК вируса гепатита С методом полимеразной цепной реакции (далее – ПЦР) с введением результатов исследования в МИС и передачей направления посредством информационного взаимодействия;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при положительном результате молекулярно-биологического исследования на определение РНК вируса гепатита С методом ПЦР врач организации АПП направляет пациента на консультацию к врачу-гастроэнтерологу и (или) инфекционисту с последующим динамическим наблюдением и оздоровлением у специалистов организации АПП и (или) центров гастроэнтерологии 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гепатологии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месту прикрепления. Направление вводится в МИС и передается посредством информационного взаимодействия.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51. В целевых группах для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иммунокомпрометированных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пациентов (пациенты, нуждающиеся в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иммуносупрессивной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терапии, включая химиотерапию,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иммуносупрессивную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терапию после трансплантации органов и тканей, кортикостероидную,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иммуносупрессивную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биологическую терапию при аутоиммунных заболеваниях; лица, живущие с ВИЧ) применяется следующий алгоритм: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одновременное проведение лабораторного обследования на определение маркеров вирусных гепатитов В и С (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HBsAg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anti-HBs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anti-HBc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-HCV-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total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методами хемилюминесценции или иммуноферментного анализа и определение РНК вируса гепатита С методом ПЦР с введением результатов исследований в МИС и передачей результата посредством информационного взаимодействия;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пациент при положительном результате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HBsAg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положительном результате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anti-HBs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anti-HBc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направляется на консультацию к врачу- гастроэнтерологу и (или) инфекционисту для дополнительного обследования с последующим </w:t>
      </w: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динамическим наблюдением и оздоровлением у специалистов организации АПП и (или) центров гастроэнтерологии 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гепатологии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месту прикрепления. Направление вводится в МИС и передается посредством информационного взаимодействия;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пациент при положительном результате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anti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-HCV-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total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положительном результате ПЦР на определение РНК вируса гепатита С направляется на консультацию к врачу-гастроэнтерологу и (или) инфекционисту с последующим динамическим наблюдением и оздоровлением у специалистов организации АПП и (или) центров гастроэнтерологии и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гепатологии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месту прикрепления. Направление вводится в МИС и передается посредством информационного взаимодействия.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52. Медицинские работники, подлежащие осмотру на раннее выявление вирусных гепатитов В и С, проходят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 в организациях АПП по месту прикрепления.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53. Пациенты центров и отделений гемодиализа, гематологии, онкологии, трансплантации, сердечно-сосудистой и легочной хирургии, лица, поступающие на плановые оперативные вмешательства, пациенты, получающие гемотрансфузии (в плановом порядке), трансплантацию и пересадку органов (части органов), тканей, половых, фетальных, стволовых клеток и биологических материалов, беременные проходят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скрининговое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исследование в организациях АПП по месту прикрепления.</w:t>
      </w:r>
    </w:p>
    <w:p w:rsidR="00F06A7D" w:rsidRPr="00F06A7D" w:rsidRDefault="00F06A7D" w:rsidP="00F06A7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54. Лица из ключевых групп населения, которые подвергаются повышенному риску заражения ВИЧ-инфекцией в силу особенностей образа жизни, проходят обследования при обращении для тестирования на ВИЧ-инфекцию в организациях</w:t>
      </w:r>
      <w:r w:rsidRPr="00F06A7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здравоохранения</w:t>
      </w: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осуществляющих деятельность в сфере профилактики ВИЧ-инфекции.</w:t>
      </w:r>
    </w:p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Объем и периодичность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55.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Cкрининговые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целевых групп взрослого и детского населения проводятся в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обьеме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для целевых групп взрослого и детского населения с разделением медицинских услуг в рамках гарантированного объема бесплатной медицинской помощи (далее – ГОБМП) и обязательного социального медицинского страхования (далее – ОСМС) согласно </w:t>
      </w:r>
      <w:hyperlink r:id="rId17" w:anchor="z224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приложениям 1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18" w:anchor="z226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субъектами здравоохранения, имеющими лицензию на вид деятельности в сфере здравоохранения в соответствии с </w:t>
      </w:r>
      <w:hyperlink r:id="rId19" w:anchor="z123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16 мая 2014 года "О разрешениях и уведомлениях".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56.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целевых групп взрослого и детского населения осуществляются в соответствии с периодичностью и сроками завершения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целевым группам взрослого и детского населения согласно </w:t>
      </w:r>
      <w:hyperlink r:id="rId20" w:anchor="z228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06A7D" w:rsidRPr="00F06A7D" w:rsidRDefault="00F06A7D" w:rsidP="00F06A7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57.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Скрининговые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исследования групп риска на раннее выявление вирусных гепатитов В и С осуществляются в соответствии со сроками проведения </w:t>
      </w:r>
      <w:proofErr w:type="spellStart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исследований групп риска на раннее выявление вирусных гепатитов В и С согласно </w:t>
      </w:r>
      <w:hyperlink r:id="rId21" w:anchor="z230" w:history="1">
        <w:r w:rsidRPr="00F06A7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F06A7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224"/>
            <w:bookmarkEnd w:id="3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Правилам, объему и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периодичности проведения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исследований</w:t>
            </w:r>
          </w:p>
        </w:tc>
      </w:tr>
    </w:tbl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Объем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 для целевых групп взрослого населения с разделением медицинских услуг в рамках гарантированного объема бесплатной медицинской помощи (ГОБМП) и обязательного социального медицинского страхования (ОСМС)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718"/>
        <w:gridCol w:w="6514"/>
        <w:gridCol w:w="1875"/>
      </w:tblGrid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Целевая группа и вид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пакета услуг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 в возрасте от 30 до 39 лет, подлежащие осмотру на раннее выявление поведенческих факторов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Мужчины и женщины в возрасте от 40 до 70 лет, подлежащие осмотру на раннее выявление артериальной гипертонии, ишемической болезни сердца, сахарного диабета, глаукомы и поведенческих факторов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Измерение внутриглазного давления по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Маклакову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бесконтактная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пневмотонометрия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 общего холестерина в сыворотке крови экспресс 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 глюкозы в сыворотке крови экспресс 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Электрокардиографическое исследование (в 12 отведениях) с расшифровкой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Кардиолог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Эндокринолог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Офтальмолог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Акушерка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 в возрасте от 30 до 70 лет, подлежащие осмотру на раннее выявление рака шейки матки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Забор мазка на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онкоцитологию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Цитологическое исследование мазка из шейки матки ПАП-тест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Акушер-гинеколог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(Видео)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кольпоскопия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Биопсия шейки матки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Гистологическое исследование 1 блок-препарата операционно-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биопсийного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Акушер-гинеколог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Онколог-гинеколог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Маммография (4 снимка)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 в возрасте от 40 до 70 лет, подлежащие осмотру на раннее выявление рака молочной железы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 (2 читка рентгенограммы): Рентгенолог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Онколог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Консультация: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Маммолог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Прицельная маммография (1 проекция)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УЗИ молочных желез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Трепанобиопсия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Гистологическое исследование 1 блок-препарата операционно-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биопсийного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Консультация: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Маммолог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Онколог-хирург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Обнаружение скрытой крови в кале (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гемокульт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-тест) экспресс методом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Мужчины и женщины в возрасте от 50 до 70 лет, подлежащие осмотру на раннее выявление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колоректального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рака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Тотальная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видеоколоноскопия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скрининговая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Наркоз внутривенный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Эндоскопическая щипковая биопсия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Гистологическое исследование 1 блок-препарата операционно-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биопсийного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материала 3 категории сложности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Хирург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Проктолог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Гастроэнтеролог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Консультация: Онколог-хирург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 лиц из групп риска (2 этапное) на раннее выявление вирусных гепатитов В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 крови из вены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HBsAg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Обследование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иммунокомпреметированных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лиц, из групп риска (1 этапное) на раннее выявление вирусных гепатитов В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 крови из вены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 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HBsAg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G к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HBsAg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M к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HBsAg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06A7D" w:rsidRPr="00F06A7D" w:rsidRDefault="00F06A7D" w:rsidP="00F06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226"/>
            <w:bookmarkEnd w:id="4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Правилам, объему и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периодичности проведения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исследований</w:t>
            </w:r>
          </w:p>
        </w:tc>
      </w:tr>
    </w:tbl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Обьем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 для целевых групп детского населения с разделением медицинских услуг в рамках гарантированного объема бесплатной медицинской помощи (ГОБМП) и обязательного социального медицинского страхования (ОСМС)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897"/>
        <w:gridCol w:w="6016"/>
        <w:gridCol w:w="2194"/>
      </w:tblGrid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Целевая группа и вид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пакета услуг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 из группы риска на раннее выявление вирусных гепатитов В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 крови из вены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 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HBsAg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Педиатр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Педиатр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средним образованием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иммунокомпрометированные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дети из группы риска на раннее выявление вирусных гепатитов В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Медицинская сестра со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Фельдшер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 крови из вены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 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HBsAg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G к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HBsAg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M к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HBsAg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ОСМС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Терапевт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Прием: Педиатр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</w:tc>
      </w:tr>
      <w:tr w:rsidR="00F06A7D" w:rsidRPr="00F06A7D" w:rsidTr="00F06A7D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Семейный врач (Врач общей практики)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ГОБМП</w:t>
            </w:r>
          </w:p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06A7D" w:rsidRPr="00F06A7D" w:rsidRDefault="00F06A7D" w:rsidP="00F06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228"/>
            <w:bookmarkEnd w:id="5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Правилам, объему и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периодичности проведения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исследований</w:t>
            </w:r>
          </w:p>
        </w:tc>
      </w:tr>
    </w:tbl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Периодичность и сроки завершения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 взрослого и детского населения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8"/>
        <w:gridCol w:w="2239"/>
        <w:gridCol w:w="1282"/>
        <w:gridCol w:w="1195"/>
      </w:tblGrid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целевой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завершения исследования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Женщины в возрасте от 30 до 39 лет, подлежащие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скрининговому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исследованию на раннее выявление поведенческих факторов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раз в 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 дней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Мужчины и женщины в возрасте от 40 до 70 лет, подлежащие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скрининговому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исследованию на раннее выявление артериальной гипертонии, </w:t>
            </w: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ишемической болезни сердца, сахарного диабета, глаукомы и поведенческих факторов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 раз в 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 дней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Женщины в возрасте от 30 до 70 лет, подлежащие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скрининговому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исследованию на раннее выявление рака шейки матки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раз в 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 дней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Женщины в возрасте от 40 до 70 лет, подлежащие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скрининговому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исследованию на раннее выявление рака молочной железы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 дней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Мужчины и женщины в возрасте от 50 до 70 лет, подлежащие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скрининговому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исследованию на раннее выявление </w:t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колоректального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рака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 раз в 2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 дней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pPr w:leftFromText="180" w:rightFromText="180" w:vertAnchor="text" w:horzAnchor="margin" w:tblpY="148"/>
              <w:tblW w:w="13380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5597"/>
              <w:gridCol w:w="7226"/>
            </w:tblGrid>
            <w:tr w:rsidR="00F06A7D" w:rsidRPr="00F06A7D" w:rsidTr="00F06A7D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bookmarkStart w:id="6" w:name="_GoBack"/>
                  <w:bookmarkEnd w:id="6"/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 xml:space="preserve">Сроки проведения </w:t>
                  </w:r>
                  <w:proofErr w:type="spellStart"/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скрининговых</w:t>
                  </w:r>
                  <w:proofErr w:type="spellEnd"/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 xml:space="preserve"> исследований групп риска на раннее выявление вирусных гепатитов В и С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Группа риска</w:t>
                  </w:r>
                </w:p>
              </w:tc>
            </w:tr>
            <w:tr w:rsidR="00F06A7D" w:rsidRPr="00F06A7D" w:rsidTr="00F06A7D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При поступлении на работу и далее один раз в шесть месяцев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 xml:space="preserve">Медицинские работники:- организаций службы крови, проводящие инвазивные процедуры, участвующие в переработке крови; занимающиеся гемодиализом;- 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лечения;- клинических, иммунологических, вирусологических, бактериологических, </w:t>
                  </w:r>
                  <w:proofErr w:type="spellStart"/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паразитологических</w:t>
                  </w:r>
                  <w:proofErr w:type="spellEnd"/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 xml:space="preserve"> лабораторий</w:t>
                  </w:r>
                </w:p>
              </w:tc>
            </w:tr>
            <w:tr w:rsidR="00F06A7D" w:rsidRPr="00F06A7D" w:rsidTr="00F06A7D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Перед оперативным вмешательством и через шесть месяцев после оперативного вмешательства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Лица, поступающие на плановые и экстренные оперативные вмешательства;</w:t>
                  </w:r>
                </w:p>
              </w:tc>
            </w:tr>
            <w:tr w:rsidR="00F06A7D" w:rsidRPr="00F06A7D" w:rsidTr="00F06A7D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При поступлении на госпитализацию и через шесть месяцев после госпитализации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Пациенты центров и отделений гемодиализа, гематологии, онкологии, трансплантации, сердечно-сосудистой и легочной хирургии;</w:t>
                  </w:r>
                </w:p>
              </w:tc>
            </w:tr>
            <w:tr w:rsidR="00F06A7D" w:rsidRPr="00F06A7D" w:rsidTr="00F06A7D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Перед проведением и через шесть месяцев после проведения гемотрансфузий, трансплантации и пересадки органов (части органов), тканей, половых, фетальных, стволовых клеток и биологических материалов;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</w:t>
                  </w:r>
                </w:p>
              </w:tc>
            </w:tr>
            <w:tr w:rsidR="00F06A7D" w:rsidRPr="00F06A7D" w:rsidTr="00F06A7D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При постановке на учет и перед родами в случае отсутствия обследования на вирусный гепатит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Беременные женщины</w:t>
                  </w:r>
                </w:p>
              </w:tc>
            </w:tr>
            <w:tr w:rsidR="00F06A7D" w:rsidRPr="00F06A7D" w:rsidTr="00F06A7D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При обращении для тестирования на ВИЧ-инфекцию, не чаще, чем 1 раза в шесть месяцев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F06A7D" w:rsidRPr="00F06A7D" w:rsidRDefault="00F06A7D" w:rsidP="00F06A7D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  <w:lang w:eastAsia="ru-RU"/>
                    </w:rPr>
                    <w:t>Лица из ключевых групп населения, которые подвергаются повышенному риску заражения ВИЧ-инфекцией в силу особенностей образа жизни</w:t>
                  </w:r>
                </w:p>
                <w:p w:rsidR="00F06A7D" w:rsidRPr="00F06A7D" w:rsidRDefault="00F06A7D" w:rsidP="00F06A7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06A7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Скачать</w:t>
                  </w:r>
                </w:p>
              </w:tc>
            </w:tr>
          </w:tbl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Дети из группы риска на раннее выявление вирусных гепатитов В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чаще 1 раза в 6 месяцев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месяца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Иммунокомпрометированные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дети из группы риска на раннее выявление вирусных гепатитов В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чаще 1 раза в 6 месяцев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месяца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Декретированные категории граждан (2 этапное) на раннее выявление </w:t>
            </w: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вирусных гепатитов В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 чаще 1 раза в 6 месяцев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месяца</w:t>
            </w:r>
          </w:p>
        </w:tc>
      </w:tr>
      <w:tr w:rsidR="00F06A7D" w:rsidRPr="00F06A7D" w:rsidTr="00F0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Иммунокомпрометированные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декретированных категорий граждан (1 этапное) на раннее выявление вирусных гепатитов В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 чаще 1 раза в 6 месяцев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месяца</w:t>
            </w:r>
          </w:p>
          <w:p w:rsidR="00F06A7D" w:rsidRPr="00F06A7D" w:rsidRDefault="00F06A7D" w:rsidP="00F06A7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06A7D" w:rsidRPr="00F06A7D" w:rsidRDefault="00F06A7D" w:rsidP="00F06A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A7D" w:rsidRPr="00F06A7D" w:rsidTr="00F06A7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A7D" w:rsidRPr="00F06A7D" w:rsidRDefault="00F06A7D" w:rsidP="00F06A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" w:name="z230"/>
            <w:bookmarkEnd w:id="7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Правилам, объему и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периодичности проведения</w:t>
            </w:r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Pr="00F06A7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исследований</w:t>
            </w:r>
          </w:p>
        </w:tc>
      </w:tr>
    </w:tbl>
    <w:p w:rsidR="00F06A7D" w:rsidRPr="00F06A7D" w:rsidRDefault="00F06A7D" w:rsidP="00F06A7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Сроки проведения </w:t>
      </w:r>
      <w:proofErr w:type="spellStart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скрининговых</w:t>
      </w:r>
      <w:proofErr w:type="spellEnd"/>
      <w:r w:rsidRPr="00F06A7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исследований групп риска на раннее выявление вирусных гепатитов В и С</w:t>
      </w:r>
    </w:p>
    <w:p w:rsidR="00174211" w:rsidRDefault="00174211"/>
    <w:sectPr w:rsidR="00174211" w:rsidSect="00F0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B00"/>
    <w:multiLevelType w:val="multilevel"/>
    <w:tmpl w:val="D4D2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FE"/>
    <w:rsid w:val="00174211"/>
    <w:rsid w:val="003076FE"/>
    <w:rsid w:val="00F0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8061-55D4-49CB-94E8-7E21A48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6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6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6A7D"/>
  </w:style>
  <w:style w:type="paragraph" w:customStyle="1" w:styleId="msonormal0">
    <w:name w:val="msonormal"/>
    <w:basedOn w:val="a"/>
    <w:rsid w:val="00F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A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6A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1572/links" TargetMode="External"/><Relationship Id="rId13" Type="http://schemas.openxmlformats.org/officeDocument/2006/relationships/hyperlink" Target="http://adilet.zan.kz/rus/docs/K2000000360" TargetMode="External"/><Relationship Id="rId18" Type="http://schemas.openxmlformats.org/officeDocument/2006/relationships/hyperlink" Target="http://adilet.zan.kz/rus/docs/V20000215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2000021572" TargetMode="External"/><Relationship Id="rId7" Type="http://schemas.openxmlformats.org/officeDocument/2006/relationships/hyperlink" Target="http://adilet.zan.kz/rus/docs/V2000021572/history" TargetMode="External"/><Relationship Id="rId12" Type="http://schemas.openxmlformats.org/officeDocument/2006/relationships/hyperlink" Target="http://adilet.zan.kz/rus/docs/V2000021572" TargetMode="External"/><Relationship Id="rId17" Type="http://schemas.openxmlformats.org/officeDocument/2006/relationships/hyperlink" Target="http://adilet.zan.kz/rus/docs/V2000021572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2000000360" TargetMode="External"/><Relationship Id="rId20" Type="http://schemas.openxmlformats.org/officeDocument/2006/relationships/hyperlink" Target="http://adilet.zan.kz/rus/docs/V20000215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1572/info" TargetMode="External"/><Relationship Id="rId11" Type="http://schemas.openxmlformats.org/officeDocument/2006/relationships/hyperlink" Target="http://adilet.zan.kz/rus/docs/V2000021572" TargetMode="External"/><Relationship Id="rId5" Type="http://schemas.openxmlformats.org/officeDocument/2006/relationships/hyperlink" Target="http://adilet.zan.kz/rus/docs/V2000021572" TargetMode="External"/><Relationship Id="rId15" Type="http://schemas.openxmlformats.org/officeDocument/2006/relationships/hyperlink" Target="http://adilet.zan.kz/rus/docs/V20000215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K2000000360" TargetMode="External"/><Relationship Id="rId19" Type="http://schemas.openxmlformats.org/officeDocument/2006/relationships/hyperlink" Target="http://adilet.zan.kz/rus/docs/Z14000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1572/download" TargetMode="External"/><Relationship Id="rId14" Type="http://schemas.openxmlformats.org/officeDocument/2006/relationships/hyperlink" Target="http://adilet.zan.kz/rus/docs/V20000215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8445</Words>
  <Characters>48137</Characters>
  <Application>Microsoft Office Word</Application>
  <DocSecurity>0</DocSecurity>
  <Lines>401</Lines>
  <Paragraphs>112</Paragraphs>
  <ScaleCrop>false</ScaleCrop>
  <Company/>
  <LinksUpToDate>false</LinksUpToDate>
  <CharactersWithSpaces>56470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2021-01-20T11:30:00Z</dcterms:created>
  <dcterms:modified xsi:type="dcterms:W3CDTF">2021-01-20T11:31:00Z</dcterms:modified>
</cp:coreProperties>
</file>