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E1" w:rsidRPr="006E05CB" w:rsidRDefault="00BB70CC" w:rsidP="001A79F4">
      <w:pPr>
        <w:jc w:val="center"/>
        <w:rPr>
          <w:rFonts w:ascii="Arial" w:hAnsi="Arial" w:cs="Arial"/>
          <w:b/>
          <w:sz w:val="24"/>
          <w:szCs w:val="24"/>
          <w:lang w:val="kk-KZ"/>
        </w:rPr>
      </w:pPr>
      <w:r>
        <w:rPr>
          <w:rFonts w:ascii="Arial" w:hAnsi="Arial" w:cs="Arial"/>
          <w:b/>
          <w:sz w:val="24"/>
          <w:szCs w:val="24"/>
          <w:lang w:val="kk-KZ"/>
        </w:rPr>
        <w:t xml:space="preserve">Выявленные коррупционные риски по результатам </w:t>
      </w:r>
      <w:r w:rsidR="00097CE1" w:rsidRPr="006E05CB">
        <w:rPr>
          <w:rFonts w:ascii="Arial" w:hAnsi="Arial" w:cs="Arial"/>
          <w:b/>
          <w:sz w:val="24"/>
          <w:szCs w:val="24"/>
          <w:lang w:val="kk-KZ"/>
        </w:rPr>
        <w:t xml:space="preserve">ВАКР </w:t>
      </w:r>
    </w:p>
    <w:p w:rsidR="001A79F4" w:rsidRPr="006E05CB" w:rsidRDefault="00097CE1" w:rsidP="001A79F4">
      <w:pPr>
        <w:jc w:val="center"/>
        <w:rPr>
          <w:rFonts w:ascii="Arial" w:hAnsi="Arial" w:cs="Arial"/>
          <w:b/>
          <w:sz w:val="24"/>
          <w:szCs w:val="24"/>
          <w:lang w:val="kk-KZ"/>
        </w:rPr>
      </w:pPr>
      <w:r w:rsidRPr="006E05CB">
        <w:rPr>
          <w:rFonts w:ascii="Arial" w:hAnsi="Arial" w:cs="Arial"/>
          <w:b/>
          <w:sz w:val="24"/>
          <w:szCs w:val="24"/>
          <w:lang w:val="kk-KZ"/>
        </w:rPr>
        <w:t>в</w:t>
      </w:r>
      <w:r w:rsidR="001A79F4" w:rsidRPr="006E05CB">
        <w:rPr>
          <w:rFonts w:ascii="Arial" w:hAnsi="Arial" w:cs="Arial"/>
          <w:b/>
          <w:sz w:val="24"/>
          <w:szCs w:val="24"/>
          <w:lang w:val="kk-KZ"/>
        </w:rPr>
        <w:t xml:space="preserve"> </w:t>
      </w:r>
      <w:r w:rsidR="008E20DE">
        <w:rPr>
          <w:rFonts w:ascii="Arial" w:hAnsi="Arial" w:cs="Arial"/>
          <w:b/>
          <w:sz w:val="24"/>
          <w:szCs w:val="24"/>
          <w:lang w:val="kk-KZ"/>
        </w:rPr>
        <w:t xml:space="preserve">КГП на ПХВ </w:t>
      </w:r>
      <w:r w:rsidR="008E20DE">
        <w:rPr>
          <w:rFonts w:ascii="Arial" w:hAnsi="Arial" w:cs="Arial"/>
          <w:b/>
          <w:sz w:val="24"/>
          <w:szCs w:val="24"/>
        </w:rPr>
        <w:t>«Поликлиника № 3 города Экибастуза»</w:t>
      </w:r>
      <w:r w:rsidR="001A79F4" w:rsidRPr="006E05CB">
        <w:rPr>
          <w:rFonts w:ascii="Arial" w:hAnsi="Arial" w:cs="Arial"/>
          <w:b/>
          <w:sz w:val="24"/>
          <w:szCs w:val="24"/>
          <w:lang w:val="kk-KZ"/>
        </w:rPr>
        <w:t xml:space="preserve"> </w:t>
      </w:r>
      <w:r w:rsidR="00BB70CC">
        <w:rPr>
          <w:rFonts w:ascii="Arial" w:hAnsi="Arial" w:cs="Arial"/>
          <w:b/>
          <w:sz w:val="24"/>
          <w:szCs w:val="24"/>
          <w:lang w:val="kk-KZ"/>
        </w:rPr>
        <w:t>в 2023 году</w:t>
      </w:r>
    </w:p>
    <w:tbl>
      <w:tblPr>
        <w:tblStyle w:val="a3"/>
        <w:tblW w:w="15344" w:type="dxa"/>
        <w:tblLayout w:type="fixed"/>
        <w:tblLook w:val="04A0"/>
      </w:tblPr>
      <w:tblGrid>
        <w:gridCol w:w="708"/>
        <w:gridCol w:w="6096"/>
        <w:gridCol w:w="4852"/>
        <w:gridCol w:w="8"/>
        <w:gridCol w:w="15"/>
        <w:gridCol w:w="3665"/>
      </w:tblGrid>
      <w:tr w:rsidR="00097CE1" w:rsidRPr="00D01D38" w:rsidTr="00D01D38">
        <w:tc>
          <w:tcPr>
            <w:tcW w:w="708" w:type="dxa"/>
          </w:tcPr>
          <w:p w:rsidR="00097CE1" w:rsidRPr="00D01D38" w:rsidRDefault="00097CE1" w:rsidP="002C4F57">
            <w:pPr>
              <w:jc w:val="center"/>
              <w:rPr>
                <w:rFonts w:ascii="Times New Roman" w:hAnsi="Times New Roman" w:cs="Times New Roman"/>
                <w:b/>
                <w:lang w:val="kk-KZ"/>
              </w:rPr>
            </w:pPr>
            <w:r w:rsidRPr="00D01D38">
              <w:rPr>
                <w:rFonts w:ascii="Times New Roman" w:hAnsi="Times New Roman" w:cs="Times New Roman"/>
                <w:b/>
                <w:lang w:val="kk-KZ"/>
              </w:rPr>
              <w:t>№</w:t>
            </w:r>
          </w:p>
        </w:tc>
        <w:tc>
          <w:tcPr>
            <w:tcW w:w="6096" w:type="dxa"/>
          </w:tcPr>
          <w:p w:rsidR="00097CE1" w:rsidRPr="00D01D38" w:rsidRDefault="00097CE1" w:rsidP="002C4F57">
            <w:pPr>
              <w:jc w:val="center"/>
              <w:rPr>
                <w:rFonts w:ascii="Times New Roman" w:hAnsi="Times New Roman" w:cs="Times New Roman"/>
                <w:b/>
                <w:lang w:val="kk-KZ"/>
              </w:rPr>
            </w:pPr>
            <w:r w:rsidRPr="00D01D38">
              <w:rPr>
                <w:rFonts w:ascii="Times New Roman" w:hAnsi="Times New Roman" w:cs="Times New Roman"/>
                <w:b/>
                <w:lang w:val="kk-KZ"/>
              </w:rPr>
              <w:t>Выявленные корриски</w:t>
            </w:r>
          </w:p>
        </w:tc>
        <w:tc>
          <w:tcPr>
            <w:tcW w:w="4852" w:type="dxa"/>
          </w:tcPr>
          <w:p w:rsidR="00097CE1" w:rsidRPr="00D01D38" w:rsidRDefault="00097CE1" w:rsidP="002C4F57">
            <w:pPr>
              <w:jc w:val="center"/>
              <w:rPr>
                <w:rFonts w:ascii="Times New Roman" w:hAnsi="Times New Roman" w:cs="Times New Roman"/>
                <w:b/>
                <w:lang w:val="kk-KZ"/>
              </w:rPr>
            </w:pPr>
            <w:r w:rsidRPr="00D01D38">
              <w:rPr>
                <w:rFonts w:ascii="Times New Roman" w:hAnsi="Times New Roman" w:cs="Times New Roman"/>
                <w:b/>
                <w:lang w:val="kk-KZ"/>
              </w:rPr>
              <w:t>Рекомендации по их устранению</w:t>
            </w:r>
          </w:p>
          <w:p w:rsidR="008C58E6" w:rsidRPr="00D01D38" w:rsidRDefault="008C58E6" w:rsidP="002C4F57">
            <w:pPr>
              <w:jc w:val="center"/>
              <w:rPr>
                <w:rFonts w:ascii="Times New Roman" w:hAnsi="Times New Roman" w:cs="Times New Roman"/>
                <w:b/>
                <w:lang w:val="kk-KZ"/>
              </w:rPr>
            </w:pPr>
            <w:bookmarkStart w:id="0" w:name="_GoBack"/>
            <w:bookmarkEnd w:id="0"/>
          </w:p>
        </w:tc>
        <w:tc>
          <w:tcPr>
            <w:tcW w:w="3688" w:type="dxa"/>
            <w:gridSpan w:val="3"/>
          </w:tcPr>
          <w:p w:rsidR="00097CE1" w:rsidRPr="00D01D38" w:rsidRDefault="00097CE1" w:rsidP="002C4F57">
            <w:pPr>
              <w:jc w:val="center"/>
              <w:rPr>
                <w:rFonts w:ascii="Times New Roman" w:hAnsi="Times New Roman" w:cs="Times New Roman"/>
                <w:b/>
                <w:lang w:val="kk-KZ"/>
              </w:rPr>
            </w:pPr>
            <w:r w:rsidRPr="00D01D38">
              <w:rPr>
                <w:rFonts w:ascii="Times New Roman" w:hAnsi="Times New Roman" w:cs="Times New Roman"/>
                <w:b/>
                <w:lang w:val="kk-KZ"/>
              </w:rPr>
              <w:t>Примечание</w:t>
            </w:r>
          </w:p>
        </w:tc>
      </w:tr>
      <w:tr w:rsidR="008E20DE" w:rsidRPr="00D01D38" w:rsidTr="00D01D38">
        <w:tc>
          <w:tcPr>
            <w:tcW w:w="708" w:type="dxa"/>
          </w:tcPr>
          <w:p w:rsidR="008E20DE" w:rsidRPr="00D01D38" w:rsidRDefault="008E20DE" w:rsidP="00753586">
            <w:pPr>
              <w:pStyle w:val="a4"/>
              <w:numPr>
                <w:ilvl w:val="0"/>
                <w:numId w:val="6"/>
              </w:numPr>
              <w:ind w:left="0" w:firstLine="0"/>
              <w:jc w:val="center"/>
              <w:rPr>
                <w:rFonts w:ascii="Times New Roman" w:hAnsi="Times New Roman" w:cs="Times New Roman"/>
                <w:b/>
                <w:lang w:val="kk-KZ"/>
              </w:rPr>
            </w:pPr>
          </w:p>
        </w:tc>
        <w:tc>
          <w:tcPr>
            <w:tcW w:w="6096" w:type="dxa"/>
          </w:tcPr>
          <w:p w:rsidR="008E20DE" w:rsidRPr="00D01D38" w:rsidRDefault="008E20DE" w:rsidP="00071276">
            <w:pPr>
              <w:pStyle w:val="a4"/>
              <w:numPr>
                <w:ilvl w:val="0"/>
                <w:numId w:val="5"/>
              </w:numPr>
              <w:ind w:left="0" w:firstLine="0"/>
              <w:rPr>
                <w:rFonts w:ascii="Times New Roman" w:hAnsi="Times New Roman" w:cs="Times New Roman"/>
                <w:b/>
                <w:lang w:val="kk-KZ"/>
              </w:rPr>
            </w:pPr>
            <w:r w:rsidRPr="00D01D38">
              <w:rPr>
                <w:rFonts w:ascii="Times New Roman" w:hAnsi="Times New Roman" w:cs="Times New Roman"/>
                <w:b/>
                <w:i/>
                <w:color w:val="0070C0"/>
                <w:lang w:eastAsia="ru-RU"/>
              </w:rPr>
              <w:t>Выявление коррупционных рисков в действующих правовых актах</w:t>
            </w:r>
          </w:p>
          <w:p w:rsidR="008E20DE" w:rsidRPr="00D01D38" w:rsidRDefault="008E20DE" w:rsidP="00071276">
            <w:pPr>
              <w:pStyle w:val="a4"/>
              <w:ind w:left="0"/>
              <w:rPr>
                <w:rFonts w:ascii="Times New Roman" w:hAnsi="Times New Roman" w:cs="Times New Roman"/>
                <w:b/>
                <w:lang w:val="kk-KZ"/>
              </w:rPr>
            </w:pPr>
          </w:p>
        </w:tc>
        <w:tc>
          <w:tcPr>
            <w:tcW w:w="4875" w:type="dxa"/>
            <w:gridSpan w:val="3"/>
          </w:tcPr>
          <w:p w:rsidR="008E20DE" w:rsidRPr="00D01D38" w:rsidRDefault="00071276" w:rsidP="00753586">
            <w:pPr>
              <w:pStyle w:val="a4"/>
              <w:rPr>
                <w:rFonts w:ascii="Times New Roman" w:hAnsi="Times New Roman" w:cs="Times New Roman"/>
                <w:b/>
                <w:lang w:val="kk-KZ"/>
              </w:rPr>
            </w:pPr>
            <w:r w:rsidRPr="00D01D38">
              <w:rPr>
                <w:rFonts w:ascii="Times New Roman" w:hAnsi="Times New Roman" w:cs="Times New Roman"/>
                <w:lang w:eastAsia="ru-RU"/>
              </w:rPr>
              <w:t>Данная функция не входит в компетенцию</w:t>
            </w:r>
          </w:p>
        </w:tc>
        <w:tc>
          <w:tcPr>
            <w:tcW w:w="3665" w:type="dxa"/>
          </w:tcPr>
          <w:p w:rsidR="008E20DE" w:rsidRPr="00D01D38" w:rsidRDefault="008E20DE" w:rsidP="00753586">
            <w:pPr>
              <w:pStyle w:val="a4"/>
              <w:rPr>
                <w:rFonts w:ascii="Times New Roman" w:hAnsi="Times New Roman" w:cs="Times New Roman"/>
                <w:b/>
                <w:lang w:val="kk-KZ"/>
              </w:rPr>
            </w:pPr>
          </w:p>
        </w:tc>
      </w:tr>
      <w:tr w:rsidR="008E20DE" w:rsidRPr="00D01D38" w:rsidTr="00D01D38">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BB70CC" w:rsidRDefault="008E20DE" w:rsidP="00071276">
            <w:pPr>
              <w:rPr>
                <w:rFonts w:ascii="Times New Roman" w:hAnsi="Times New Roman" w:cs="Times New Roman"/>
                <w:b/>
                <w:i/>
                <w:color w:val="5B9BD5" w:themeColor="accent1"/>
              </w:rPr>
            </w:pPr>
            <w:r w:rsidRPr="00D01D38">
              <w:rPr>
                <w:rFonts w:ascii="Times New Roman" w:hAnsi="Times New Roman" w:cs="Times New Roman"/>
                <w:b/>
                <w:i/>
                <w:color w:val="5B9BD5" w:themeColor="accent1"/>
                <w:lang w:val="kk-KZ"/>
              </w:rPr>
              <w:t>2: Выявление коррупционных рисков во внутренних документах</w:t>
            </w:r>
          </w:p>
          <w:p w:rsidR="00D01D38" w:rsidRPr="00D01D38" w:rsidRDefault="00D01D38" w:rsidP="00071276">
            <w:pPr>
              <w:pStyle w:val="a8"/>
              <w:shd w:val="clear" w:color="auto" w:fill="FFFFFF"/>
              <w:spacing w:after="0" w:line="240" w:lineRule="auto"/>
              <w:ind w:left="0"/>
              <w:jc w:val="both"/>
              <w:textAlignment w:val="baseline"/>
              <w:rPr>
                <w:rFonts w:ascii="Times New Roman" w:hAnsi="Times New Roman" w:cs="Times New Roman"/>
                <w:bCs/>
              </w:rPr>
            </w:pPr>
            <w:r w:rsidRPr="00D01D38">
              <w:rPr>
                <w:rFonts w:ascii="Times New Roman" w:hAnsi="Times New Roman" w:cs="Times New Roman"/>
              </w:rPr>
              <w:t>Имеются приказы, в которых в преамбуле отсутствует ссылка на нормативно-правовой акт</w:t>
            </w:r>
            <w:r w:rsidRPr="00D01D38">
              <w:rPr>
                <w:rFonts w:ascii="Times New Roman" w:hAnsi="Times New Roman" w:cs="Times New Roman"/>
                <w:b/>
              </w:rPr>
              <w:t xml:space="preserve">. </w:t>
            </w:r>
            <w:r w:rsidRPr="00D01D38">
              <w:rPr>
                <w:rFonts w:ascii="Times New Roman" w:hAnsi="Times New Roman" w:cs="Times New Roman"/>
                <w:bCs/>
              </w:rPr>
              <w:t>Также в приказах о назначении ответственных лиц отсутствуют подписи ознакомления ответственных лиц.</w:t>
            </w:r>
          </w:p>
          <w:p w:rsidR="00D01D38" w:rsidRPr="00D01D38" w:rsidRDefault="00D01D38" w:rsidP="00071276">
            <w:pPr>
              <w:jc w:val="center"/>
              <w:rPr>
                <w:rFonts w:ascii="Times New Roman" w:hAnsi="Times New Roman" w:cs="Times New Roman"/>
                <w:b/>
                <w:i/>
                <w:color w:val="5B9BD5" w:themeColor="accent1"/>
              </w:rPr>
            </w:pPr>
          </w:p>
          <w:p w:rsidR="008E20DE" w:rsidRPr="00D01D38" w:rsidRDefault="008E20DE" w:rsidP="00071276">
            <w:pPr>
              <w:jc w:val="center"/>
              <w:rPr>
                <w:rFonts w:ascii="Times New Roman" w:hAnsi="Times New Roman" w:cs="Times New Roman"/>
                <w:b/>
                <w:i/>
                <w:lang w:val="kk-KZ"/>
              </w:rPr>
            </w:pPr>
          </w:p>
        </w:tc>
        <w:tc>
          <w:tcPr>
            <w:tcW w:w="4875" w:type="dxa"/>
            <w:gridSpan w:val="3"/>
            <w:shd w:val="clear" w:color="auto" w:fill="auto"/>
          </w:tcPr>
          <w:p w:rsidR="008E20DE" w:rsidRPr="00D01D38" w:rsidRDefault="00D01D38" w:rsidP="00071276">
            <w:pPr>
              <w:jc w:val="both"/>
              <w:rPr>
                <w:rFonts w:ascii="Times New Roman" w:hAnsi="Times New Roman" w:cs="Times New Roman"/>
                <w:b/>
                <w:i/>
                <w:lang w:val="kk-KZ"/>
              </w:rPr>
            </w:pPr>
            <w:r w:rsidRPr="00D01D38">
              <w:rPr>
                <w:rFonts w:ascii="Times New Roman" w:hAnsi="Times New Roman" w:cs="Times New Roman"/>
                <w:lang w:eastAsia="ru-RU"/>
              </w:rPr>
              <w:t>предлагается довести до сведения работников поликлиники о допущенных ошибках при разработке приказов и принять меры по их недопущению, а также внести предложение в последующем отправлять приказы на подпись руководителя после согласования с юристом.</w:t>
            </w:r>
          </w:p>
        </w:tc>
        <w:tc>
          <w:tcPr>
            <w:tcW w:w="3665" w:type="dxa"/>
            <w:shd w:val="clear" w:color="auto" w:fill="auto"/>
          </w:tcPr>
          <w:p w:rsidR="008E20DE" w:rsidRPr="00D01D38" w:rsidRDefault="008E20DE" w:rsidP="00097CE1">
            <w:pPr>
              <w:jc w:val="center"/>
              <w:rPr>
                <w:rFonts w:ascii="Times New Roman" w:hAnsi="Times New Roman" w:cs="Times New Roman"/>
                <w:b/>
                <w:i/>
                <w:lang w:val="kk-KZ"/>
              </w:rPr>
            </w:pPr>
          </w:p>
        </w:tc>
      </w:tr>
      <w:tr w:rsidR="008E20DE" w:rsidRPr="00D01D38" w:rsidTr="00D01D38">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D01D38" w:rsidRDefault="008E20DE" w:rsidP="00071276">
            <w:pPr>
              <w:shd w:val="clear" w:color="auto" w:fill="FFFFFF"/>
              <w:contextualSpacing/>
              <w:textAlignment w:val="baseline"/>
              <w:rPr>
                <w:rFonts w:ascii="Times New Roman" w:eastAsia="Calibri" w:hAnsi="Times New Roman" w:cs="Times New Roman"/>
                <w:b/>
                <w:i/>
                <w:color w:val="0070C0"/>
                <w:lang w:eastAsia="ru-RU"/>
              </w:rPr>
            </w:pPr>
            <w:r w:rsidRPr="00D01D38">
              <w:rPr>
                <w:rFonts w:ascii="Times New Roman" w:eastAsia="Calibri" w:hAnsi="Times New Roman" w:cs="Times New Roman"/>
                <w:b/>
                <w:i/>
                <w:color w:val="0070C0"/>
                <w:lang w:eastAsia="ru-RU"/>
              </w:rPr>
              <w:t xml:space="preserve">3: Выявление коррупционных рисков, связанных с управлением персоналом, в том числе определение </w:t>
            </w:r>
          </w:p>
          <w:p w:rsidR="008E20DE" w:rsidRPr="00D01D38" w:rsidRDefault="008E20DE" w:rsidP="00071276">
            <w:pPr>
              <w:shd w:val="clear" w:color="auto" w:fill="FFFFFF"/>
              <w:contextualSpacing/>
              <w:textAlignment w:val="baseline"/>
              <w:rPr>
                <w:rFonts w:ascii="Times New Roman" w:eastAsia="Calibri" w:hAnsi="Times New Roman" w:cs="Times New Roman"/>
                <w:b/>
                <w:i/>
                <w:color w:val="0070C0"/>
                <w:lang w:eastAsia="ru-RU"/>
              </w:rPr>
            </w:pPr>
            <w:r w:rsidRPr="00D01D38">
              <w:rPr>
                <w:rFonts w:ascii="Times New Roman" w:eastAsia="Calibri" w:hAnsi="Times New Roman" w:cs="Times New Roman"/>
                <w:b/>
                <w:i/>
                <w:color w:val="0070C0"/>
                <w:lang w:eastAsia="ru-RU"/>
              </w:rPr>
              <w:t>должностей подверженных коррупционным рискам</w:t>
            </w:r>
          </w:p>
          <w:p w:rsidR="00D01D38" w:rsidRPr="00D01D38" w:rsidRDefault="00D01D38" w:rsidP="00071276">
            <w:pPr>
              <w:pStyle w:val="a4"/>
              <w:numPr>
                <w:ilvl w:val="0"/>
                <w:numId w:val="7"/>
              </w:numPr>
              <w:ind w:left="0" w:firstLine="0"/>
              <w:jc w:val="both"/>
              <w:rPr>
                <w:rFonts w:ascii="Times New Roman" w:hAnsi="Times New Roman" w:cs="Times New Roman"/>
                <w:bCs/>
              </w:rPr>
            </w:pPr>
            <w:r w:rsidRPr="00D01D38">
              <w:rPr>
                <w:rFonts w:ascii="Times New Roman" w:hAnsi="Times New Roman" w:cs="Times New Roman"/>
                <w:bCs/>
              </w:rPr>
              <w:t xml:space="preserve">Нарушение законодательства, в случае принятие на работу </w:t>
            </w:r>
            <w:proofErr w:type="gramStart"/>
            <w:r w:rsidRPr="00D01D38">
              <w:rPr>
                <w:rFonts w:ascii="Times New Roman" w:hAnsi="Times New Roman" w:cs="Times New Roman"/>
                <w:bCs/>
              </w:rPr>
              <w:t>лиц, ранее совершивших коррупционное правонарушение влечет</w:t>
            </w:r>
            <w:proofErr w:type="gramEnd"/>
            <w:r w:rsidRPr="00D01D38">
              <w:rPr>
                <w:rFonts w:ascii="Times New Roman" w:hAnsi="Times New Roman" w:cs="Times New Roman"/>
                <w:bCs/>
              </w:rPr>
              <w:t xml:space="preserve"> штраф в соответствии со ст.681 </w:t>
            </w:r>
            <w:proofErr w:type="spellStart"/>
            <w:r w:rsidRPr="00D01D38">
              <w:rPr>
                <w:rFonts w:ascii="Times New Roman" w:hAnsi="Times New Roman" w:cs="Times New Roman"/>
                <w:bCs/>
              </w:rPr>
              <w:t>КоАП</w:t>
            </w:r>
            <w:proofErr w:type="spellEnd"/>
            <w:r w:rsidRPr="00D01D38">
              <w:rPr>
                <w:rFonts w:ascii="Times New Roman" w:hAnsi="Times New Roman" w:cs="Times New Roman"/>
                <w:bCs/>
              </w:rPr>
              <w:t xml:space="preserve"> на руководителей в размере ста месячных расчетных показателей.</w:t>
            </w:r>
          </w:p>
          <w:p w:rsidR="00D01D38" w:rsidRPr="00D01D38" w:rsidRDefault="00D01D38" w:rsidP="00071276">
            <w:pPr>
              <w:pStyle w:val="a4"/>
              <w:numPr>
                <w:ilvl w:val="0"/>
                <w:numId w:val="7"/>
              </w:numPr>
              <w:ind w:left="0" w:firstLine="0"/>
              <w:jc w:val="both"/>
              <w:rPr>
                <w:rFonts w:ascii="Times New Roman" w:hAnsi="Times New Roman" w:cs="Times New Roman"/>
              </w:rPr>
            </w:pPr>
            <w:r w:rsidRPr="00D01D38">
              <w:rPr>
                <w:rFonts w:ascii="Times New Roman" w:hAnsi="Times New Roman" w:cs="Times New Roman"/>
              </w:rPr>
              <w:t>отсутствие конкурсной процедуры может повлечь коррупционный риск, так как назначение уполномоченным органом производится на основании представления руководителя КГС. Возникает риск назначения лица угодного руководству, либо за имущественное вознаграждение.</w:t>
            </w:r>
          </w:p>
          <w:p w:rsidR="008E20DE" w:rsidRPr="00D01D38" w:rsidRDefault="008E20DE" w:rsidP="00071276">
            <w:pPr>
              <w:shd w:val="clear" w:color="auto" w:fill="FFFFFF"/>
              <w:contextualSpacing/>
              <w:jc w:val="center"/>
              <w:textAlignment w:val="baseline"/>
              <w:rPr>
                <w:rFonts w:ascii="Times New Roman" w:hAnsi="Times New Roman" w:cs="Times New Roman"/>
                <w:b/>
                <w:i/>
              </w:rPr>
            </w:pPr>
          </w:p>
        </w:tc>
        <w:tc>
          <w:tcPr>
            <w:tcW w:w="4875" w:type="dxa"/>
            <w:gridSpan w:val="3"/>
            <w:shd w:val="clear" w:color="auto" w:fill="auto"/>
          </w:tcPr>
          <w:p w:rsidR="00D01D38" w:rsidRPr="00D01D38" w:rsidRDefault="00D01D38" w:rsidP="00D01D38">
            <w:pPr>
              <w:jc w:val="both"/>
              <w:rPr>
                <w:rFonts w:ascii="Times New Roman" w:hAnsi="Times New Roman" w:cs="Times New Roman"/>
                <w:bCs/>
              </w:rPr>
            </w:pPr>
            <w:r w:rsidRPr="00D01D38">
              <w:rPr>
                <w:rFonts w:ascii="Times New Roman" w:hAnsi="Times New Roman" w:cs="Times New Roman"/>
                <w:bCs/>
              </w:rPr>
              <w:t xml:space="preserve">1.Учитывая то, что в настоящее время сведения о наличии либо отсутствии сведений о совершении коррупционного преступления предоставляются через </w:t>
            </w:r>
            <w:proofErr w:type="gramStart"/>
            <w:r w:rsidRPr="00D01D38">
              <w:rPr>
                <w:rFonts w:ascii="Times New Roman" w:hAnsi="Times New Roman" w:cs="Times New Roman"/>
                <w:bCs/>
              </w:rPr>
              <w:t>е</w:t>
            </w:r>
            <w:proofErr w:type="spellStart"/>
            <w:proofErr w:type="gramEnd"/>
            <w:r w:rsidRPr="00D01D38">
              <w:rPr>
                <w:rFonts w:ascii="Times New Roman" w:hAnsi="Times New Roman" w:cs="Times New Roman"/>
                <w:bCs/>
                <w:lang w:val="en-US"/>
              </w:rPr>
              <w:t>gov</w:t>
            </w:r>
            <w:proofErr w:type="spellEnd"/>
            <w:r w:rsidRPr="00D01D38">
              <w:rPr>
                <w:rFonts w:ascii="Times New Roman" w:hAnsi="Times New Roman" w:cs="Times New Roman"/>
                <w:bCs/>
              </w:rPr>
              <w:t xml:space="preserve">,  инспектору отдела кадров необходимо запросить у работников соответствующие справки. А также осуществлять прием работников только при наличии вышеуказанной справки. </w:t>
            </w:r>
          </w:p>
          <w:p w:rsidR="00D01D38" w:rsidRPr="00D01D38" w:rsidRDefault="00D01D38" w:rsidP="00D01D38">
            <w:pPr>
              <w:ind w:firstLine="176"/>
              <w:jc w:val="both"/>
              <w:rPr>
                <w:rFonts w:ascii="Times New Roman" w:hAnsi="Times New Roman" w:cs="Times New Roman"/>
              </w:rPr>
            </w:pPr>
            <w:r w:rsidRPr="00D01D38">
              <w:rPr>
                <w:rFonts w:ascii="Times New Roman" w:hAnsi="Times New Roman" w:cs="Times New Roman"/>
                <w:b/>
                <w:i/>
              </w:rPr>
              <w:t>2.</w:t>
            </w:r>
            <w:r w:rsidRPr="00D01D38">
              <w:rPr>
                <w:rFonts w:ascii="Times New Roman" w:hAnsi="Times New Roman" w:cs="Times New Roman"/>
              </w:rPr>
              <w:t xml:space="preserve"> направить письмо в уполномоченный орган с просьбой инициировать внесение поправок в закон в части отсутствия конкурсной процедуры на назначение на должность заместителей руководителя.</w:t>
            </w:r>
          </w:p>
          <w:p w:rsidR="008E20DE" w:rsidRPr="00D01D38" w:rsidRDefault="008E20DE" w:rsidP="00D01D38">
            <w:pPr>
              <w:shd w:val="clear" w:color="auto" w:fill="FFFFFF"/>
              <w:contextualSpacing/>
              <w:textAlignment w:val="baseline"/>
              <w:rPr>
                <w:rFonts w:ascii="Times New Roman" w:hAnsi="Times New Roman" w:cs="Times New Roman"/>
                <w:b/>
                <w:i/>
              </w:rPr>
            </w:pPr>
          </w:p>
        </w:tc>
        <w:tc>
          <w:tcPr>
            <w:tcW w:w="3665" w:type="dxa"/>
            <w:shd w:val="clear" w:color="auto" w:fill="auto"/>
          </w:tcPr>
          <w:p w:rsidR="00D01D38" w:rsidRPr="00D01D38" w:rsidRDefault="00D01D38" w:rsidP="00D01D38">
            <w:pPr>
              <w:ind w:firstLine="709"/>
              <w:jc w:val="both"/>
              <w:rPr>
                <w:rFonts w:ascii="Times New Roman" w:hAnsi="Times New Roman" w:cs="Times New Roman"/>
              </w:rPr>
            </w:pPr>
            <w:r w:rsidRPr="00D01D38">
              <w:rPr>
                <w:rFonts w:ascii="Times New Roman" w:hAnsi="Times New Roman" w:cs="Times New Roman"/>
              </w:rPr>
              <w:t>По результатам внутреннего анализа коррупционных рисков определен следующий перечень должностей, подверженный коррупционным рискам:</w:t>
            </w:r>
          </w:p>
          <w:p w:rsidR="00D01D38" w:rsidRPr="00D01D38" w:rsidRDefault="00D01D38" w:rsidP="00D01D38">
            <w:pPr>
              <w:ind w:firstLine="709"/>
              <w:jc w:val="both"/>
              <w:rPr>
                <w:rFonts w:ascii="Times New Roman" w:hAnsi="Times New Roman" w:cs="Times New Roman"/>
              </w:rPr>
            </w:pPr>
            <w:r w:rsidRPr="00D01D38">
              <w:rPr>
                <w:rFonts w:ascii="Times New Roman" w:hAnsi="Times New Roman" w:cs="Times New Roman"/>
              </w:rPr>
              <w:t xml:space="preserve"> </w:t>
            </w:r>
            <w:proofErr w:type="gramStart"/>
            <w:r w:rsidRPr="00D01D38">
              <w:rPr>
                <w:rFonts w:ascii="Times New Roman" w:hAnsi="Times New Roman" w:cs="Times New Roman"/>
              </w:rPr>
              <w:t>- руководитель, заместители руководителя, главная медсестра, главный бухгалтер, специалист по закупу, завхоз, фармацевт, механик.</w:t>
            </w:r>
            <w:proofErr w:type="gramEnd"/>
          </w:p>
          <w:p w:rsidR="008E20DE" w:rsidRPr="00D01D38" w:rsidRDefault="008E20DE" w:rsidP="00753586">
            <w:pPr>
              <w:shd w:val="clear" w:color="auto" w:fill="FFFFFF"/>
              <w:ind w:firstLine="709"/>
              <w:contextualSpacing/>
              <w:jc w:val="center"/>
              <w:textAlignment w:val="baseline"/>
              <w:rPr>
                <w:rFonts w:ascii="Times New Roman" w:hAnsi="Times New Roman" w:cs="Times New Roman"/>
                <w:b/>
                <w:i/>
              </w:rPr>
            </w:pPr>
          </w:p>
        </w:tc>
      </w:tr>
      <w:tr w:rsidR="008E20DE" w:rsidRPr="00D01D38" w:rsidTr="00D01D38">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D01D38" w:rsidRDefault="008E20DE" w:rsidP="00071276">
            <w:pPr>
              <w:shd w:val="clear" w:color="auto" w:fill="FFFFFF"/>
              <w:contextualSpacing/>
              <w:textAlignment w:val="baseline"/>
              <w:rPr>
                <w:rFonts w:ascii="Times New Roman" w:eastAsia="Calibri" w:hAnsi="Times New Roman" w:cs="Times New Roman"/>
                <w:b/>
                <w:i/>
                <w:color w:val="0070C0"/>
                <w:lang w:eastAsia="ru-RU"/>
              </w:rPr>
            </w:pPr>
            <w:r w:rsidRPr="00D01D38">
              <w:rPr>
                <w:rFonts w:ascii="Times New Roman" w:eastAsia="Calibri" w:hAnsi="Times New Roman" w:cs="Times New Roman"/>
                <w:b/>
                <w:i/>
                <w:color w:val="0070C0"/>
                <w:lang w:eastAsia="ru-RU"/>
              </w:rPr>
              <w:t>4: Выявление коррупционных рисков, связанных с урегулированием конфликтом интересов</w:t>
            </w:r>
          </w:p>
          <w:p w:rsidR="008E20DE" w:rsidRPr="00D01D38" w:rsidRDefault="008E20DE" w:rsidP="00071276">
            <w:pPr>
              <w:shd w:val="clear" w:color="auto" w:fill="FFFFFF"/>
              <w:contextualSpacing/>
              <w:textAlignment w:val="baseline"/>
              <w:rPr>
                <w:rFonts w:ascii="Times New Roman" w:eastAsia="Calibri" w:hAnsi="Times New Roman" w:cs="Times New Roman"/>
                <w:b/>
                <w:i/>
                <w:color w:val="0070C0"/>
                <w:lang w:eastAsia="ru-RU"/>
              </w:rPr>
            </w:pPr>
          </w:p>
        </w:tc>
        <w:tc>
          <w:tcPr>
            <w:tcW w:w="4875" w:type="dxa"/>
            <w:gridSpan w:val="3"/>
            <w:shd w:val="clear" w:color="auto" w:fill="auto"/>
          </w:tcPr>
          <w:p w:rsidR="008E20DE" w:rsidRPr="00D01D38" w:rsidRDefault="00D01D38" w:rsidP="00071276">
            <w:pPr>
              <w:shd w:val="clear" w:color="auto" w:fill="FFFFFF"/>
              <w:contextualSpacing/>
              <w:textAlignment w:val="baseline"/>
              <w:rPr>
                <w:rFonts w:ascii="Times New Roman" w:eastAsia="Calibri" w:hAnsi="Times New Roman" w:cs="Times New Roman"/>
                <w:b/>
                <w:i/>
                <w:color w:val="0070C0"/>
                <w:lang w:eastAsia="ru-RU"/>
              </w:rPr>
            </w:pPr>
            <w:r w:rsidRPr="00D01D38">
              <w:rPr>
                <w:rFonts w:ascii="Times New Roman" w:eastAsia="Times New Roman" w:hAnsi="Times New Roman" w:cs="Times New Roman"/>
                <w:lang w:val="kk-KZ"/>
              </w:rPr>
              <w:t>не выявлено</w:t>
            </w:r>
          </w:p>
        </w:tc>
        <w:tc>
          <w:tcPr>
            <w:tcW w:w="3665" w:type="dxa"/>
            <w:shd w:val="clear" w:color="auto" w:fill="auto"/>
          </w:tcPr>
          <w:p w:rsidR="008E20DE" w:rsidRPr="00D01D38" w:rsidRDefault="008E20DE" w:rsidP="00097CE1">
            <w:pPr>
              <w:shd w:val="clear" w:color="auto" w:fill="FFFFFF"/>
              <w:ind w:firstLine="709"/>
              <w:contextualSpacing/>
              <w:jc w:val="center"/>
              <w:textAlignment w:val="baseline"/>
              <w:rPr>
                <w:rFonts w:ascii="Times New Roman" w:eastAsia="Calibri" w:hAnsi="Times New Roman" w:cs="Times New Roman"/>
                <w:b/>
                <w:i/>
                <w:color w:val="0070C0"/>
                <w:lang w:eastAsia="ru-RU"/>
              </w:rPr>
            </w:pPr>
          </w:p>
        </w:tc>
      </w:tr>
      <w:tr w:rsidR="008E20DE" w:rsidRPr="00D01D38" w:rsidTr="00D01D38">
        <w:trPr>
          <w:trHeight w:val="515"/>
        </w:trPr>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D01D38" w:rsidRDefault="008E20DE" w:rsidP="00071276">
            <w:pPr>
              <w:rPr>
                <w:rFonts w:ascii="Times New Roman" w:hAnsi="Times New Roman" w:cs="Times New Roman"/>
                <w:lang w:val="kk-KZ"/>
              </w:rPr>
            </w:pPr>
            <w:r w:rsidRPr="00D01D38">
              <w:rPr>
                <w:rFonts w:ascii="Times New Roman" w:hAnsi="Times New Roman" w:cs="Times New Roman"/>
                <w:b/>
                <w:i/>
                <w:color w:val="0070C0"/>
                <w:lang w:eastAsia="ru-RU"/>
              </w:rPr>
              <w:t xml:space="preserve">5. Выявление коррупционных рисков, связанных с оказанием </w:t>
            </w:r>
            <w:proofErr w:type="spellStart"/>
            <w:r w:rsidRPr="00D01D38">
              <w:rPr>
                <w:rFonts w:ascii="Times New Roman" w:hAnsi="Times New Roman" w:cs="Times New Roman"/>
                <w:b/>
                <w:i/>
                <w:color w:val="0070C0"/>
                <w:lang w:eastAsia="ru-RU"/>
              </w:rPr>
              <w:t>госуслуг</w:t>
            </w:r>
            <w:proofErr w:type="spellEnd"/>
          </w:p>
        </w:tc>
        <w:tc>
          <w:tcPr>
            <w:tcW w:w="4875" w:type="dxa"/>
            <w:gridSpan w:val="3"/>
            <w:shd w:val="clear" w:color="auto" w:fill="auto"/>
          </w:tcPr>
          <w:p w:rsidR="008E20DE" w:rsidRPr="00D01D38" w:rsidRDefault="00D01D38" w:rsidP="00071276">
            <w:pPr>
              <w:rPr>
                <w:rFonts w:ascii="Times New Roman" w:hAnsi="Times New Roman" w:cs="Times New Roman"/>
                <w:lang w:val="kk-KZ"/>
              </w:rPr>
            </w:pPr>
            <w:r w:rsidRPr="00D01D38">
              <w:rPr>
                <w:rFonts w:ascii="Times New Roman" w:eastAsia="Times New Roman" w:hAnsi="Times New Roman" w:cs="Times New Roman"/>
                <w:lang w:val="kk-KZ"/>
              </w:rPr>
              <w:t>не выявлено</w:t>
            </w:r>
          </w:p>
        </w:tc>
        <w:tc>
          <w:tcPr>
            <w:tcW w:w="3665" w:type="dxa"/>
            <w:shd w:val="clear" w:color="auto" w:fill="auto"/>
          </w:tcPr>
          <w:p w:rsidR="008E20DE" w:rsidRPr="00D01D38" w:rsidRDefault="008E20DE" w:rsidP="00097CE1">
            <w:pPr>
              <w:jc w:val="center"/>
              <w:rPr>
                <w:rFonts w:ascii="Times New Roman" w:hAnsi="Times New Roman" w:cs="Times New Roman"/>
                <w:lang w:val="kk-KZ"/>
              </w:rPr>
            </w:pPr>
          </w:p>
        </w:tc>
      </w:tr>
      <w:tr w:rsidR="008E20DE" w:rsidRPr="00D01D38" w:rsidTr="00D01D38">
        <w:trPr>
          <w:trHeight w:val="470"/>
        </w:trPr>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D01D38" w:rsidRDefault="008E20DE" w:rsidP="00071276">
            <w:pPr>
              <w:rPr>
                <w:rFonts w:ascii="Times New Roman" w:hAnsi="Times New Roman" w:cs="Times New Roman"/>
                <w:lang w:val="kk-KZ"/>
              </w:rPr>
            </w:pPr>
            <w:r w:rsidRPr="00D01D38">
              <w:rPr>
                <w:rFonts w:ascii="Times New Roman" w:hAnsi="Times New Roman" w:cs="Times New Roman"/>
                <w:b/>
                <w:i/>
                <w:color w:val="0070C0"/>
                <w:lang w:eastAsia="ru-RU"/>
              </w:rPr>
              <w:t xml:space="preserve">6. Выявление коррупционных рисков, связанных с реализации разрешительных функций </w:t>
            </w:r>
          </w:p>
        </w:tc>
        <w:tc>
          <w:tcPr>
            <w:tcW w:w="4875" w:type="dxa"/>
            <w:gridSpan w:val="3"/>
            <w:shd w:val="clear" w:color="auto" w:fill="auto"/>
          </w:tcPr>
          <w:p w:rsidR="00D01D38" w:rsidRPr="00D01D38" w:rsidRDefault="00D01D38" w:rsidP="00071276">
            <w:pPr>
              <w:jc w:val="both"/>
              <w:rPr>
                <w:rFonts w:ascii="Times New Roman" w:hAnsi="Times New Roman" w:cs="Times New Roman"/>
              </w:rPr>
            </w:pPr>
            <w:r w:rsidRPr="00D01D38">
              <w:rPr>
                <w:rFonts w:ascii="Times New Roman" w:hAnsi="Times New Roman" w:cs="Times New Roman"/>
              </w:rPr>
              <w:t xml:space="preserve">Согласно устава </w:t>
            </w:r>
            <w:r w:rsidRPr="00D01D38">
              <w:rPr>
                <w:rFonts w:ascii="Times New Roman" w:eastAsia="Times New Roman" w:hAnsi="Times New Roman" w:cs="Times New Roman"/>
                <w:lang w:val="kk-KZ"/>
              </w:rPr>
              <w:t xml:space="preserve"> </w:t>
            </w:r>
            <w:proofErr w:type="gramStart"/>
            <w:r w:rsidRPr="00D01D38">
              <w:rPr>
                <w:rFonts w:ascii="Times New Roman" w:hAnsi="Times New Roman" w:cs="Times New Roman"/>
              </w:rPr>
              <w:t>разрешительные</w:t>
            </w:r>
            <w:proofErr w:type="gramEnd"/>
            <w:r w:rsidRPr="00D01D38">
              <w:rPr>
                <w:rFonts w:ascii="Times New Roman" w:hAnsi="Times New Roman" w:cs="Times New Roman"/>
              </w:rPr>
              <w:t xml:space="preserve"> либо согласующие  функций</w:t>
            </w:r>
            <w:r w:rsidRPr="00D01D38">
              <w:rPr>
                <w:rFonts w:ascii="Times New Roman" w:eastAsia="Times New Roman" w:hAnsi="Times New Roman" w:cs="Times New Roman"/>
                <w:lang w:val="kk-KZ"/>
              </w:rPr>
              <w:t xml:space="preserve"> не </w:t>
            </w:r>
            <w:r w:rsidRPr="00D01D38">
              <w:rPr>
                <w:rFonts w:ascii="Times New Roman" w:hAnsi="Times New Roman" w:cs="Times New Roman"/>
              </w:rPr>
              <w:t>оказываются.</w:t>
            </w:r>
          </w:p>
          <w:p w:rsidR="008E20DE" w:rsidRPr="00D01D38" w:rsidRDefault="008E20DE" w:rsidP="007768EE">
            <w:pPr>
              <w:jc w:val="center"/>
              <w:rPr>
                <w:rFonts w:ascii="Times New Roman" w:hAnsi="Times New Roman" w:cs="Times New Roman"/>
              </w:rPr>
            </w:pPr>
          </w:p>
        </w:tc>
        <w:tc>
          <w:tcPr>
            <w:tcW w:w="3665" w:type="dxa"/>
            <w:shd w:val="clear" w:color="auto" w:fill="auto"/>
          </w:tcPr>
          <w:p w:rsidR="008E20DE" w:rsidRPr="00D01D38" w:rsidRDefault="008E20DE" w:rsidP="007768EE">
            <w:pPr>
              <w:jc w:val="center"/>
              <w:rPr>
                <w:rFonts w:ascii="Times New Roman" w:hAnsi="Times New Roman" w:cs="Times New Roman"/>
                <w:lang w:val="kk-KZ"/>
              </w:rPr>
            </w:pPr>
          </w:p>
        </w:tc>
      </w:tr>
      <w:tr w:rsidR="008E20DE" w:rsidRPr="00D01D38" w:rsidTr="00D01D38">
        <w:trPr>
          <w:trHeight w:val="470"/>
        </w:trPr>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D01D38" w:rsidRDefault="008E20DE" w:rsidP="00071276">
            <w:pPr>
              <w:pStyle w:val="a4"/>
              <w:numPr>
                <w:ilvl w:val="0"/>
                <w:numId w:val="6"/>
              </w:numPr>
              <w:ind w:left="0" w:firstLine="0"/>
              <w:rPr>
                <w:rFonts w:ascii="Times New Roman" w:hAnsi="Times New Roman" w:cs="Times New Roman"/>
                <w:lang w:val="kk-KZ"/>
              </w:rPr>
            </w:pPr>
            <w:r w:rsidRPr="00D01D38">
              <w:rPr>
                <w:rFonts w:ascii="Times New Roman" w:hAnsi="Times New Roman" w:cs="Times New Roman"/>
                <w:b/>
                <w:i/>
                <w:color w:val="0070C0"/>
                <w:lang w:eastAsia="ru-RU"/>
              </w:rPr>
              <w:t>Выявление коррупционных рисков, связанных с оказанием договоров с физическими и юридическими лицами</w:t>
            </w:r>
          </w:p>
        </w:tc>
        <w:tc>
          <w:tcPr>
            <w:tcW w:w="4860" w:type="dxa"/>
            <w:gridSpan w:val="2"/>
            <w:shd w:val="clear" w:color="auto" w:fill="auto"/>
          </w:tcPr>
          <w:p w:rsidR="008E20DE" w:rsidRPr="00D01D38" w:rsidRDefault="00D01D38" w:rsidP="00071276">
            <w:pPr>
              <w:pStyle w:val="a4"/>
              <w:ind w:left="34" w:hanging="34"/>
              <w:rPr>
                <w:rFonts w:ascii="Times New Roman" w:hAnsi="Times New Roman" w:cs="Times New Roman"/>
                <w:lang w:val="kk-KZ"/>
              </w:rPr>
            </w:pPr>
            <w:r w:rsidRPr="00D01D38">
              <w:rPr>
                <w:rFonts w:ascii="Times New Roman" w:eastAsia="Times New Roman" w:hAnsi="Times New Roman" w:cs="Times New Roman"/>
              </w:rPr>
              <w:t>В соответствии с законодательством РК не наделено контрольными и надзорными функциями</w:t>
            </w:r>
          </w:p>
        </w:tc>
        <w:tc>
          <w:tcPr>
            <w:tcW w:w="3680" w:type="dxa"/>
            <w:gridSpan w:val="2"/>
            <w:shd w:val="clear" w:color="auto" w:fill="auto"/>
          </w:tcPr>
          <w:p w:rsidR="008E20DE" w:rsidRPr="00D01D38" w:rsidRDefault="008E20DE" w:rsidP="008E20DE">
            <w:pPr>
              <w:pStyle w:val="a4"/>
              <w:rPr>
                <w:rFonts w:ascii="Times New Roman" w:hAnsi="Times New Roman" w:cs="Times New Roman"/>
                <w:lang w:val="kk-KZ"/>
              </w:rPr>
            </w:pPr>
          </w:p>
        </w:tc>
      </w:tr>
      <w:tr w:rsidR="008E20DE" w:rsidRPr="00D01D38" w:rsidTr="00D01D38">
        <w:trPr>
          <w:trHeight w:val="470"/>
        </w:trPr>
        <w:tc>
          <w:tcPr>
            <w:tcW w:w="708" w:type="dxa"/>
            <w:shd w:val="clear" w:color="auto" w:fill="auto"/>
          </w:tcPr>
          <w:p w:rsidR="008E20DE" w:rsidRPr="00071276" w:rsidRDefault="00071276" w:rsidP="00071276">
            <w:pPr>
              <w:jc w:val="both"/>
              <w:rPr>
                <w:rFonts w:ascii="Times New Roman" w:hAnsi="Times New Roman" w:cs="Times New Roman"/>
                <w:lang w:val="kk-KZ"/>
              </w:rPr>
            </w:pPr>
            <w:r>
              <w:rPr>
                <w:rFonts w:ascii="Times New Roman" w:hAnsi="Times New Roman" w:cs="Times New Roman"/>
                <w:lang w:val="kk-KZ"/>
              </w:rPr>
              <w:lastRenderedPageBreak/>
              <w:t>8.</w:t>
            </w:r>
          </w:p>
        </w:tc>
        <w:tc>
          <w:tcPr>
            <w:tcW w:w="6096" w:type="dxa"/>
            <w:shd w:val="clear" w:color="auto" w:fill="auto"/>
          </w:tcPr>
          <w:p w:rsidR="008E20DE" w:rsidRPr="00D01D38" w:rsidRDefault="008E20DE" w:rsidP="00071276">
            <w:pPr>
              <w:rPr>
                <w:rFonts w:ascii="Times New Roman" w:hAnsi="Times New Roman" w:cs="Times New Roman"/>
                <w:lang w:val="kk-KZ"/>
              </w:rPr>
            </w:pPr>
            <w:r w:rsidRPr="00D01D38">
              <w:rPr>
                <w:rFonts w:ascii="Times New Roman" w:hAnsi="Times New Roman" w:cs="Times New Roman"/>
                <w:b/>
                <w:i/>
                <w:color w:val="0070C0"/>
                <w:lang w:eastAsia="ru-RU"/>
              </w:rPr>
              <w:t xml:space="preserve">8. Выявление коррупционных рисков, связанных с разработкой и эксплуатацией информационных систем </w:t>
            </w:r>
          </w:p>
        </w:tc>
        <w:tc>
          <w:tcPr>
            <w:tcW w:w="4860" w:type="dxa"/>
            <w:gridSpan w:val="2"/>
            <w:shd w:val="clear" w:color="auto" w:fill="auto"/>
          </w:tcPr>
          <w:p w:rsidR="008E20DE" w:rsidRPr="00D01D38" w:rsidRDefault="00D01D38" w:rsidP="00071276">
            <w:pPr>
              <w:rPr>
                <w:rFonts w:ascii="Times New Roman" w:hAnsi="Times New Roman" w:cs="Times New Roman"/>
                <w:lang w:val="kk-KZ"/>
              </w:rPr>
            </w:pPr>
            <w:r w:rsidRPr="00D01D38">
              <w:rPr>
                <w:rFonts w:ascii="Times New Roman" w:hAnsi="Times New Roman" w:cs="Times New Roman"/>
                <w:lang w:eastAsia="ru-RU"/>
              </w:rPr>
              <w:t>не выявлено</w:t>
            </w:r>
          </w:p>
        </w:tc>
        <w:tc>
          <w:tcPr>
            <w:tcW w:w="3680" w:type="dxa"/>
            <w:gridSpan w:val="2"/>
            <w:shd w:val="clear" w:color="auto" w:fill="auto"/>
          </w:tcPr>
          <w:p w:rsidR="008E20DE" w:rsidRPr="00D01D38" w:rsidRDefault="008E20DE" w:rsidP="000C6743">
            <w:pPr>
              <w:jc w:val="center"/>
              <w:rPr>
                <w:rFonts w:ascii="Times New Roman" w:hAnsi="Times New Roman" w:cs="Times New Roman"/>
                <w:lang w:val="kk-KZ"/>
              </w:rPr>
            </w:pPr>
          </w:p>
        </w:tc>
      </w:tr>
      <w:tr w:rsidR="008E20DE" w:rsidRPr="00D01D38" w:rsidTr="00D01D38">
        <w:trPr>
          <w:trHeight w:val="470"/>
        </w:trPr>
        <w:tc>
          <w:tcPr>
            <w:tcW w:w="708" w:type="dxa"/>
            <w:shd w:val="clear" w:color="auto" w:fill="auto"/>
          </w:tcPr>
          <w:p w:rsidR="008E20DE" w:rsidRPr="00D01D38" w:rsidRDefault="008E20DE" w:rsidP="00753586">
            <w:pPr>
              <w:pStyle w:val="a4"/>
              <w:numPr>
                <w:ilvl w:val="0"/>
                <w:numId w:val="6"/>
              </w:numPr>
              <w:ind w:left="0" w:firstLine="0"/>
              <w:jc w:val="both"/>
              <w:rPr>
                <w:rFonts w:ascii="Times New Roman" w:hAnsi="Times New Roman" w:cs="Times New Roman"/>
                <w:lang w:val="kk-KZ"/>
              </w:rPr>
            </w:pPr>
          </w:p>
        </w:tc>
        <w:tc>
          <w:tcPr>
            <w:tcW w:w="6096" w:type="dxa"/>
            <w:shd w:val="clear" w:color="auto" w:fill="auto"/>
          </w:tcPr>
          <w:p w:rsidR="008E20DE" w:rsidRPr="00D01D38" w:rsidRDefault="008E20DE" w:rsidP="00071276">
            <w:pPr>
              <w:rPr>
                <w:rFonts w:ascii="Times New Roman" w:hAnsi="Times New Roman" w:cs="Times New Roman"/>
                <w:b/>
                <w:i/>
                <w:color w:val="0070C0"/>
                <w:lang w:eastAsia="ru-RU"/>
              </w:rPr>
            </w:pPr>
            <w:r w:rsidRPr="00D01D38">
              <w:rPr>
                <w:rFonts w:ascii="Times New Roman" w:hAnsi="Times New Roman" w:cs="Times New Roman"/>
                <w:b/>
                <w:i/>
                <w:color w:val="0070C0"/>
                <w:lang w:eastAsia="ru-RU"/>
              </w:rPr>
              <w:t xml:space="preserve">9. Выявление коррупционных рисков, связанных с иными вопросами вытекающих </w:t>
            </w:r>
          </w:p>
          <w:p w:rsidR="008E20DE" w:rsidRPr="00D01D38" w:rsidRDefault="008E20DE" w:rsidP="00071276">
            <w:pPr>
              <w:rPr>
                <w:rFonts w:ascii="Times New Roman" w:hAnsi="Times New Roman" w:cs="Times New Roman"/>
                <w:b/>
                <w:i/>
                <w:color w:val="0070C0"/>
                <w:lang w:eastAsia="ru-RU"/>
              </w:rPr>
            </w:pPr>
            <w:r w:rsidRPr="00D01D38">
              <w:rPr>
                <w:rFonts w:ascii="Times New Roman" w:hAnsi="Times New Roman" w:cs="Times New Roman"/>
                <w:b/>
                <w:i/>
                <w:color w:val="0070C0"/>
                <w:lang w:eastAsia="ru-RU"/>
              </w:rPr>
              <w:t xml:space="preserve">из организационно-управленческой деятельности </w:t>
            </w:r>
          </w:p>
          <w:p w:rsidR="00D01D38" w:rsidRPr="00D01D38" w:rsidRDefault="00D01D38" w:rsidP="00071276">
            <w:pPr>
              <w:pStyle w:val="a4"/>
              <w:numPr>
                <w:ilvl w:val="0"/>
                <w:numId w:val="8"/>
              </w:numPr>
              <w:ind w:left="0" w:firstLine="0"/>
              <w:rPr>
                <w:rFonts w:ascii="Times New Roman" w:hAnsi="Times New Roman" w:cs="Times New Roman"/>
                <w:b/>
                <w:i/>
                <w:color w:val="0070C0"/>
                <w:lang w:eastAsia="ru-RU"/>
              </w:rPr>
            </w:pPr>
            <w:r w:rsidRPr="00D01D38">
              <w:rPr>
                <w:rFonts w:ascii="Times New Roman" w:hAnsi="Times New Roman" w:cs="Times New Roman"/>
                <w:b/>
                <w:i/>
                <w:lang w:eastAsia="ru-RU"/>
              </w:rPr>
              <w:t xml:space="preserve">Выявление коррупционных рисков, связанных с финансово-хозяйственной деятельностью. </w:t>
            </w:r>
            <w:r w:rsidRPr="00D01D38">
              <w:rPr>
                <w:rFonts w:ascii="Times New Roman" w:hAnsi="Times New Roman" w:cs="Times New Roman"/>
                <w:b/>
                <w:i/>
                <w:color w:val="0070C0"/>
                <w:lang w:eastAsia="ru-RU"/>
              </w:rPr>
              <w:t xml:space="preserve">В связи с тем, что предельные цены на ЛС и ИМН утверждаются не ежегодно, либо фактически рыночная цена выше предельной многие ЛС и ИМН невозможно закупить в соответствии с Постановление 375, так как отсутствуют заявки потенциальных поставщиков, кроме того на основную часть ИМН отсутствует предельная цена.  В итоге производится запрос коммерческих предложений у потенциальных поставщиков и производится закуп в соответствии с законом РК «О государственных закупках». </w:t>
            </w:r>
            <w:proofErr w:type="gramStart"/>
            <w:r w:rsidRPr="00D01D38">
              <w:rPr>
                <w:rFonts w:ascii="Times New Roman" w:hAnsi="Times New Roman" w:cs="Times New Roman"/>
                <w:b/>
                <w:i/>
                <w:color w:val="0070C0"/>
                <w:lang w:eastAsia="ru-RU"/>
              </w:rPr>
              <w:t>При этом в соответствии с п.2 ст. 246  Кодекса РК «О здоровье народа и системе здравоохранения»  указано, что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w:t>
            </w:r>
            <w:proofErr w:type="gramEnd"/>
            <w:r w:rsidRPr="00D01D38">
              <w:rPr>
                <w:rFonts w:ascii="Times New Roman" w:hAnsi="Times New Roman" w:cs="Times New Roman"/>
                <w:b/>
                <w:i/>
                <w:color w:val="0070C0"/>
                <w:lang w:eastAsia="ru-RU"/>
              </w:rPr>
              <w:t xml:space="preserve">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Имеется риск искусственного завышения цены,  а также нарушения процедур закупа: выбора в соответствии с каким НПА проводить закуп.</w:t>
            </w:r>
          </w:p>
          <w:p w:rsidR="00D01D38" w:rsidRPr="00071276" w:rsidRDefault="00D01D38" w:rsidP="00071276">
            <w:pPr>
              <w:rPr>
                <w:rFonts w:ascii="Times New Roman" w:hAnsi="Times New Roman" w:cs="Times New Roman"/>
                <w:iCs/>
              </w:rPr>
            </w:pPr>
            <w:r w:rsidRPr="00D01D38">
              <w:rPr>
                <w:rFonts w:ascii="Times New Roman" w:hAnsi="Times New Roman" w:cs="Times New Roman"/>
                <w:b/>
                <w:i/>
                <w:lang w:eastAsia="ru-RU"/>
              </w:rPr>
              <w:t xml:space="preserve">Выявление скрытых </w:t>
            </w:r>
            <w:proofErr w:type="spellStart"/>
            <w:r w:rsidRPr="00D01D38">
              <w:rPr>
                <w:rFonts w:ascii="Times New Roman" w:hAnsi="Times New Roman" w:cs="Times New Roman"/>
                <w:b/>
                <w:i/>
                <w:lang w:eastAsia="ru-RU"/>
              </w:rPr>
              <w:t>госуслуг</w:t>
            </w:r>
            <w:proofErr w:type="spellEnd"/>
            <w:r w:rsidRPr="00D01D38">
              <w:rPr>
                <w:rFonts w:ascii="Times New Roman" w:hAnsi="Times New Roman" w:cs="Times New Roman"/>
                <w:b/>
                <w:i/>
                <w:lang w:eastAsia="ru-RU"/>
              </w:rPr>
              <w:t xml:space="preserve"> либо иных неурегулированных услуг</w:t>
            </w:r>
            <w:r w:rsidRPr="00D01D38">
              <w:rPr>
                <w:rFonts w:ascii="Times New Roman" w:hAnsi="Times New Roman" w:cs="Times New Roman"/>
                <w:iCs/>
              </w:rPr>
              <w:t xml:space="preserve"> Форма справки 076/</w:t>
            </w:r>
            <w:proofErr w:type="gramStart"/>
            <w:r w:rsidRPr="00D01D38">
              <w:rPr>
                <w:rFonts w:ascii="Times New Roman" w:hAnsi="Times New Roman" w:cs="Times New Roman"/>
                <w:iCs/>
              </w:rPr>
              <w:t>у</w:t>
            </w:r>
            <w:proofErr w:type="gramEnd"/>
            <w:r w:rsidRPr="00D01D38">
              <w:rPr>
                <w:rFonts w:ascii="Times New Roman" w:hAnsi="Times New Roman" w:cs="Times New Roman"/>
                <w:iCs/>
              </w:rPr>
              <w:t xml:space="preserve"> </w:t>
            </w:r>
            <w:proofErr w:type="gramStart"/>
            <w:r w:rsidRPr="00D01D38">
              <w:rPr>
                <w:rFonts w:ascii="Times New Roman" w:hAnsi="Times New Roman" w:cs="Times New Roman"/>
                <w:iCs/>
              </w:rPr>
              <w:t>получается</w:t>
            </w:r>
            <w:proofErr w:type="gramEnd"/>
            <w:r w:rsidRPr="00D01D38">
              <w:rPr>
                <w:rFonts w:ascii="Times New Roman" w:hAnsi="Times New Roman" w:cs="Times New Roman"/>
                <w:iCs/>
              </w:rPr>
              <w:t xml:space="preserve"> в организациях ПМСП, при этом кроме организации ПМСП там необходимо заключение психиатра и нарколога, а также исследование биологических сред, что соответственно поликлиники не предоставляют. В итоге лицо приходит за справкой, платит за нее в поликлинике, получает заключение необходимых специалистов, но для получения окончательного заключения </w:t>
            </w:r>
            <w:proofErr w:type="spellStart"/>
            <w:r w:rsidRPr="00D01D38">
              <w:rPr>
                <w:rFonts w:ascii="Times New Roman" w:hAnsi="Times New Roman" w:cs="Times New Roman"/>
                <w:iCs/>
              </w:rPr>
              <w:lastRenderedPageBreak/>
              <w:t>профпатолога</w:t>
            </w:r>
            <w:proofErr w:type="spellEnd"/>
            <w:r w:rsidRPr="00D01D38">
              <w:rPr>
                <w:rFonts w:ascii="Times New Roman" w:hAnsi="Times New Roman" w:cs="Times New Roman"/>
                <w:iCs/>
              </w:rPr>
              <w:t xml:space="preserve"> необходимо заключение психиатра и нарколога, которые предоставляются </w:t>
            </w:r>
            <w:proofErr w:type="gramStart"/>
            <w:r w:rsidRPr="00D01D38">
              <w:rPr>
                <w:rFonts w:ascii="Times New Roman" w:hAnsi="Times New Roman" w:cs="Times New Roman"/>
                <w:iCs/>
              </w:rPr>
              <w:t>в</w:t>
            </w:r>
            <w:proofErr w:type="gramEnd"/>
            <w:r w:rsidRPr="00D01D38">
              <w:rPr>
                <w:rFonts w:ascii="Times New Roman" w:hAnsi="Times New Roman" w:cs="Times New Roman"/>
                <w:iCs/>
              </w:rPr>
              <w:t xml:space="preserve"> специализированной </w:t>
            </w:r>
            <w:proofErr w:type="spellStart"/>
            <w:r w:rsidRPr="00D01D38">
              <w:rPr>
                <w:rFonts w:ascii="Times New Roman" w:hAnsi="Times New Roman" w:cs="Times New Roman"/>
                <w:iCs/>
              </w:rPr>
              <w:t>медорганизации</w:t>
            </w:r>
            <w:proofErr w:type="spellEnd"/>
            <w:r w:rsidRPr="00D01D38">
              <w:rPr>
                <w:rFonts w:ascii="Times New Roman" w:hAnsi="Times New Roman" w:cs="Times New Roman"/>
                <w:iCs/>
              </w:rPr>
              <w:t xml:space="preserve"> и за которые необходимо оплатить отдельно. В связи с тем, что отсутствует утвержденный стандарт государственной услуги возникает коррупционный риск, так как лицу для получения услуги необходимо обращаться в две разных медицинских организации и в </w:t>
            </w:r>
            <w:proofErr w:type="gramStart"/>
            <w:r w:rsidRPr="00D01D38">
              <w:rPr>
                <w:rFonts w:ascii="Times New Roman" w:hAnsi="Times New Roman" w:cs="Times New Roman"/>
                <w:iCs/>
              </w:rPr>
              <w:t>обеих</w:t>
            </w:r>
            <w:proofErr w:type="gramEnd"/>
            <w:r w:rsidRPr="00D01D38">
              <w:rPr>
                <w:rFonts w:ascii="Times New Roman" w:hAnsi="Times New Roman" w:cs="Times New Roman"/>
                <w:iCs/>
              </w:rPr>
              <w:t xml:space="preserve"> случаях производить оплату, так как данные услуги не входят в перечень услуг предоставляемых  в рамках ГОБМП и ОСМС.</w:t>
            </w:r>
          </w:p>
        </w:tc>
        <w:tc>
          <w:tcPr>
            <w:tcW w:w="4860" w:type="dxa"/>
            <w:gridSpan w:val="2"/>
            <w:shd w:val="clear" w:color="auto" w:fill="auto"/>
          </w:tcPr>
          <w:p w:rsidR="008E20DE" w:rsidRPr="00071276" w:rsidRDefault="00071276" w:rsidP="00071276">
            <w:pPr>
              <w:rPr>
                <w:rFonts w:ascii="Times New Roman" w:hAnsi="Times New Roman" w:cs="Times New Roman"/>
                <w:iCs/>
                <w:smallCaps/>
              </w:rPr>
            </w:pPr>
            <w:r>
              <w:rPr>
                <w:rFonts w:ascii="Times New Roman" w:hAnsi="Times New Roman" w:cs="Times New Roman"/>
                <w:iCs/>
              </w:rPr>
              <w:lastRenderedPageBreak/>
              <w:t>1.</w:t>
            </w:r>
            <w:r w:rsidR="00D01D38" w:rsidRPr="00071276">
              <w:rPr>
                <w:rFonts w:ascii="Times New Roman" w:hAnsi="Times New Roman" w:cs="Times New Roman"/>
                <w:iCs/>
              </w:rPr>
              <w:t xml:space="preserve">Учитывать фактическое положение – остаток на складе, средний ежемесячный расход, фактическую необходимость в приобретение </w:t>
            </w:r>
            <w:r w:rsidR="00D01D38" w:rsidRPr="00071276">
              <w:rPr>
                <w:rFonts w:ascii="Times New Roman" w:hAnsi="Times New Roman" w:cs="Times New Roman"/>
                <w:iCs/>
                <w:smallCaps/>
              </w:rPr>
              <w:t xml:space="preserve">ЛС и ИМН. Направить письмо в уполномоченный орган с просьбой инициировать утверждения предельных цен на </w:t>
            </w:r>
            <w:proofErr w:type="spellStart"/>
            <w:r w:rsidR="00D01D38" w:rsidRPr="00071276">
              <w:rPr>
                <w:rFonts w:ascii="Times New Roman" w:hAnsi="Times New Roman" w:cs="Times New Roman"/>
                <w:iCs/>
                <w:smallCaps/>
              </w:rPr>
              <w:t>лс</w:t>
            </w:r>
            <w:proofErr w:type="spellEnd"/>
            <w:r w:rsidR="00D01D38" w:rsidRPr="00071276">
              <w:rPr>
                <w:rFonts w:ascii="Times New Roman" w:hAnsi="Times New Roman" w:cs="Times New Roman"/>
                <w:iCs/>
                <w:smallCaps/>
              </w:rPr>
              <w:t xml:space="preserve"> и </w:t>
            </w:r>
            <w:proofErr w:type="spellStart"/>
            <w:r w:rsidR="00D01D38" w:rsidRPr="00071276">
              <w:rPr>
                <w:rFonts w:ascii="Times New Roman" w:hAnsi="Times New Roman" w:cs="Times New Roman"/>
                <w:iCs/>
                <w:smallCaps/>
              </w:rPr>
              <w:t>имн</w:t>
            </w:r>
            <w:proofErr w:type="spellEnd"/>
            <w:r w:rsidR="00D01D38" w:rsidRPr="00071276">
              <w:rPr>
                <w:rFonts w:ascii="Times New Roman" w:hAnsi="Times New Roman" w:cs="Times New Roman"/>
                <w:iCs/>
                <w:smallCaps/>
              </w:rPr>
              <w:t>, на которые цены не утверждены, либо определить порядок их закупа</w:t>
            </w:r>
          </w:p>
          <w:p w:rsidR="00D01D38" w:rsidRPr="00071276" w:rsidRDefault="00071276" w:rsidP="00071276">
            <w:pPr>
              <w:jc w:val="both"/>
              <w:rPr>
                <w:rFonts w:ascii="Times New Roman" w:hAnsi="Times New Roman" w:cs="Times New Roman"/>
                <w:iCs/>
              </w:rPr>
            </w:pPr>
            <w:r>
              <w:rPr>
                <w:rFonts w:ascii="Times New Roman" w:hAnsi="Times New Roman" w:cs="Times New Roman"/>
                <w:iCs/>
              </w:rPr>
              <w:t>2.</w:t>
            </w:r>
            <w:r w:rsidR="00D01D38" w:rsidRPr="00071276">
              <w:rPr>
                <w:rFonts w:ascii="Times New Roman" w:hAnsi="Times New Roman" w:cs="Times New Roman"/>
                <w:iCs/>
              </w:rPr>
              <w:t xml:space="preserve">Письмо в уполномоченный орган с просьбой инициировать утверждение </w:t>
            </w:r>
            <w:proofErr w:type="spellStart"/>
            <w:r w:rsidR="00D01D38" w:rsidRPr="00071276">
              <w:rPr>
                <w:rFonts w:ascii="Times New Roman" w:hAnsi="Times New Roman" w:cs="Times New Roman"/>
                <w:iCs/>
              </w:rPr>
              <w:t>госулуги</w:t>
            </w:r>
            <w:proofErr w:type="spellEnd"/>
            <w:r w:rsidR="00D01D38" w:rsidRPr="00071276">
              <w:rPr>
                <w:rFonts w:ascii="Times New Roman" w:hAnsi="Times New Roman" w:cs="Times New Roman"/>
                <w:iCs/>
              </w:rPr>
              <w:t xml:space="preserve"> на законодательном уровне.</w:t>
            </w:r>
          </w:p>
          <w:p w:rsidR="00D01D38" w:rsidRPr="00D01D38" w:rsidRDefault="00D01D38" w:rsidP="00D01D38">
            <w:pPr>
              <w:ind w:firstLine="708"/>
              <w:jc w:val="both"/>
              <w:rPr>
                <w:rFonts w:ascii="Times New Roman" w:hAnsi="Times New Roman" w:cs="Times New Roman"/>
                <w:iCs/>
              </w:rPr>
            </w:pPr>
          </w:p>
          <w:p w:rsidR="00D01D38" w:rsidRPr="00071276" w:rsidRDefault="00D01D38" w:rsidP="00071276">
            <w:pPr>
              <w:rPr>
                <w:rFonts w:ascii="Times New Roman" w:hAnsi="Times New Roman" w:cs="Times New Roman"/>
                <w:b/>
                <w:i/>
                <w:color w:val="0070C0"/>
                <w:lang w:eastAsia="ru-RU"/>
              </w:rPr>
            </w:pPr>
          </w:p>
        </w:tc>
        <w:tc>
          <w:tcPr>
            <w:tcW w:w="3680" w:type="dxa"/>
            <w:gridSpan w:val="2"/>
            <w:shd w:val="clear" w:color="auto" w:fill="auto"/>
          </w:tcPr>
          <w:p w:rsidR="00D01D38" w:rsidRPr="00D01D38" w:rsidRDefault="00D01D38" w:rsidP="00D01D38">
            <w:pPr>
              <w:pStyle w:val="a8"/>
              <w:pBdr>
                <w:bottom w:val="single" w:sz="6" w:space="0" w:color="FFFFFF"/>
              </w:pBdr>
              <w:spacing w:after="0" w:line="240" w:lineRule="auto"/>
              <w:ind w:left="0" w:firstLine="708"/>
              <w:jc w:val="both"/>
              <w:rPr>
                <w:rFonts w:ascii="Times New Roman" w:hAnsi="Times New Roman" w:cs="Times New Roman"/>
                <w:iCs/>
                <w:smallCaps/>
              </w:rPr>
            </w:pPr>
            <w:r w:rsidRPr="00D01D38">
              <w:rPr>
                <w:rFonts w:ascii="Times New Roman" w:hAnsi="Times New Roman" w:cs="Times New Roman"/>
                <w:iCs/>
                <w:smallCaps/>
              </w:rPr>
              <w:t>.</w:t>
            </w:r>
          </w:p>
          <w:p w:rsidR="008E20DE" w:rsidRPr="00D01D38" w:rsidRDefault="008E20DE" w:rsidP="00753586">
            <w:pPr>
              <w:jc w:val="center"/>
              <w:rPr>
                <w:rFonts w:ascii="Times New Roman" w:hAnsi="Times New Roman" w:cs="Times New Roman"/>
                <w:b/>
                <w:i/>
                <w:color w:val="0070C0"/>
                <w:lang w:eastAsia="ru-RU"/>
              </w:rPr>
            </w:pPr>
          </w:p>
        </w:tc>
      </w:tr>
    </w:tbl>
    <w:p w:rsidR="00AC0D7D" w:rsidRPr="00D96A1F" w:rsidRDefault="00AC0D7D" w:rsidP="001A79F4">
      <w:pPr>
        <w:jc w:val="both"/>
        <w:rPr>
          <w:rFonts w:ascii="Arial" w:hAnsi="Arial" w:cs="Arial"/>
          <w:sz w:val="20"/>
          <w:szCs w:val="20"/>
          <w:lang w:val="kk-KZ"/>
        </w:rPr>
      </w:pPr>
    </w:p>
    <w:sectPr w:rsidR="00AC0D7D" w:rsidRPr="00D96A1F" w:rsidSect="00D01D38">
      <w:pgSz w:w="16838" w:h="11906" w:orient="landscape"/>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121"/>
    <w:multiLevelType w:val="hybridMultilevel"/>
    <w:tmpl w:val="866A2746"/>
    <w:lvl w:ilvl="0" w:tplc="D40EDDBE">
      <w:start w:val="1"/>
      <w:numFmt w:val="decimal"/>
      <w:lvlText w:val="%1."/>
      <w:lvlJc w:val="left"/>
      <w:pPr>
        <w:ind w:left="720" w:hanging="360"/>
      </w:pPr>
      <w:rPr>
        <w:rFonts w:ascii="Arial" w:hAnsi="Arial" w:cs="Arial" w:hint="default"/>
        <w:b/>
        <w:i/>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B1FFF"/>
    <w:multiLevelType w:val="hybridMultilevel"/>
    <w:tmpl w:val="DD8E1FEE"/>
    <w:lvl w:ilvl="0" w:tplc="9140CEC4">
      <w:start w:val="1"/>
      <w:numFmt w:val="decimal"/>
      <w:lvlText w:val="%1."/>
      <w:lvlJc w:val="left"/>
      <w:pPr>
        <w:ind w:left="720" w:hanging="360"/>
      </w:pPr>
      <w:rPr>
        <w:rFonts w:ascii="Arial Narrow" w:hAnsi="Arial Narrow" w:hint="default"/>
        <w:i/>
        <w:color w:val="0070C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20186"/>
    <w:multiLevelType w:val="hybridMultilevel"/>
    <w:tmpl w:val="7EC0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95130"/>
    <w:multiLevelType w:val="hybridMultilevel"/>
    <w:tmpl w:val="E222F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53737"/>
    <w:multiLevelType w:val="hybridMultilevel"/>
    <w:tmpl w:val="649E5B38"/>
    <w:lvl w:ilvl="0" w:tplc="0D0E2464">
      <w:start w:val="1"/>
      <w:numFmt w:val="decimal"/>
      <w:lvlText w:val="%1."/>
      <w:lvlJc w:val="left"/>
      <w:pPr>
        <w:ind w:left="360" w:hanging="360"/>
      </w:pPr>
      <w:rPr>
        <w:rFonts w:hint="default"/>
        <w:i/>
        <w:color w:val="0070C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F6B2419"/>
    <w:multiLevelType w:val="hybridMultilevel"/>
    <w:tmpl w:val="F2266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9A558F"/>
    <w:multiLevelType w:val="hybridMultilevel"/>
    <w:tmpl w:val="ECBC7F9C"/>
    <w:lvl w:ilvl="0" w:tplc="CF30E8B4">
      <w:start w:val="5"/>
      <w:numFmt w:val="decimal"/>
      <w:lvlText w:val="%1."/>
      <w:lvlJc w:val="left"/>
      <w:pPr>
        <w:ind w:left="1080" w:hanging="360"/>
      </w:pPr>
      <w:rPr>
        <w:rFonts w:hint="default"/>
        <w:b/>
        <w:i/>
        <w:color w:val="0070C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99C7A07"/>
    <w:multiLevelType w:val="hybridMultilevel"/>
    <w:tmpl w:val="6AD28678"/>
    <w:lvl w:ilvl="0" w:tplc="0D0E2464">
      <w:start w:val="1"/>
      <w:numFmt w:val="decimal"/>
      <w:lvlText w:val="%1."/>
      <w:lvlJc w:val="left"/>
      <w:pPr>
        <w:ind w:left="720" w:hanging="360"/>
      </w:pPr>
      <w:rPr>
        <w:rFonts w:hint="default"/>
        <w:i/>
        <w:color w:val="0070C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BF0AE3"/>
    <w:multiLevelType w:val="hybridMultilevel"/>
    <w:tmpl w:val="BBA4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7A0"/>
    <w:rsid w:val="000344F7"/>
    <w:rsid w:val="00071276"/>
    <w:rsid w:val="0007534C"/>
    <w:rsid w:val="00075BA5"/>
    <w:rsid w:val="00097CE1"/>
    <w:rsid w:val="000A3D74"/>
    <w:rsid w:val="000C6743"/>
    <w:rsid w:val="00126D21"/>
    <w:rsid w:val="001412EF"/>
    <w:rsid w:val="001A6CBF"/>
    <w:rsid w:val="001A79F4"/>
    <w:rsid w:val="00207042"/>
    <w:rsid w:val="002078C7"/>
    <w:rsid w:val="002175B7"/>
    <w:rsid w:val="002303CE"/>
    <w:rsid w:val="0029465A"/>
    <w:rsid w:val="002C4F57"/>
    <w:rsid w:val="0030434D"/>
    <w:rsid w:val="0032180C"/>
    <w:rsid w:val="003327A0"/>
    <w:rsid w:val="00384543"/>
    <w:rsid w:val="003D6504"/>
    <w:rsid w:val="00487745"/>
    <w:rsid w:val="004908EE"/>
    <w:rsid w:val="00496001"/>
    <w:rsid w:val="004977A2"/>
    <w:rsid w:val="004E23D5"/>
    <w:rsid w:val="00587D1C"/>
    <w:rsid w:val="0059700A"/>
    <w:rsid w:val="005A2010"/>
    <w:rsid w:val="005A3BB8"/>
    <w:rsid w:val="005B3FE4"/>
    <w:rsid w:val="005D2AEA"/>
    <w:rsid w:val="005D7788"/>
    <w:rsid w:val="005E23FE"/>
    <w:rsid w:val="00600210"/>
    <w:rsid w:val="006623AF"/>
    <w:rsid w:val="006E05CB"/>
    <w:rsid w:val="00706431"/>
    <w:rsid w:val="00711FAC"/>
    <w:rsid w:val="00714A44"/>
    <w:rsid w:val="0072471E"/>
    <w:rsid w:val="00733DBF"/>
    <w:rsid w:val="00753586"/>
    <w:rsid w:val="007768EE"/>
    <w:rsid w:val="007A7B25"/>
    <w:rsid w:val="007D39B4"/>
    <w:rsid w:val="007F2020"/>
    <w:rsid w:val="00806C19"/>
    <w:rsid w:val="008179FB"/>
    <w:rsid w:val="0083301F"/>
    <w:rsid w:val="008A02AB"/>
    <w:rsid w:val="008A44C6"/>
    <w:rsid w:val="008B3A2D"/>
    <w:rsid w:val="008C58E6"/>
    <w:rsid w:val="008E20DE"/>
    <w:rsid w:val="00916F78"/>
    <w:rsid w:val="00952159"/>
    <w:rsid w:val="00961286"/>
    <w:rsid w:val="00964D6B"/>
    <w:rsid w:val="00973D81"/>
    <w:rsid w:val="0098161A"/>
    <w:rsid w:val="00995776"/>
    <w:rsid w:val="009A1D3C"/>
    <w:rsid w:val="009C4E78"/>
    <w:rsid w:val="00A156A9"/>
    <w:rsid w:val="00A3094A"/>
    <w:rsid w:val="00AB5972"/>
    <w:rsid w:val="00AC0D7D"/>
    <w:rsid w:val="00AF0493"/>
    <w:rsid w:val="00AF4943"/>
    <w:rsid w:val="00B1204A"/>
    <w:rsid w:val="00B73280"/>
    <w:rsid w:val="00BB70CC"/>
    <w:rsid w:val="00BE43AE"/>
    <w:rsid w:val="00C63AB0"/>
    <w:rsid w:val="00C93B6D"/>
    <w:rsid w:val="00CA485A"/>
    <w:rsid w:val="00CC1512"/>
    <w:rsid w:val="00CE3DE2"/>
    <w:rsid w:val="00CF5A65"/>
    <w:rsid w:val="00D01D38"/>
    <w:rsid w:val="00D12D44"/>
    <w:rsid w:val="00D72EC5"/>
    <w:rsid w:val="00D93CD1"/>
    <w:rsid w:val="00D96A1F"/>
    <w:rsid w:val="00DA24D6"/>
    <w:rsid w:val="00DB36B2"/>
    <w:rsid w:val="00DF477F"/>
    <w:rsid w:val="00E37BEA"/>
    <w:rsid w:val="00E37E10"/>
    <w:rsid w:val="00E512EB"/>
    <w:rsid w:val="00EC1F08"/>
    <w:rsid w:val="00EC629A"/>
    <w:rsid w:val="00ED17A0"/>
    <w:rsid w:val="00ED2F9E"/>
    <w:rsid w:val="00EF6B1C"/>
    <w:rsid w:val="00F21636"/>
    <w:rsid w:val="00F7528F"/>
    <w:rsid w:val="00FA07C6"/>
    <w:rsid w:val="00FA4F44"/>
    <w:rsid w:val="00FE1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5776"/>
    <w:pPr>
      <w:ind w:left="720"/>
      <w:contextualSpacing/>
    </w:pPr>
  </w:style>
  <w:style w:type="paragraph" w:styleId="a5">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6"/>
    <w:uiPriority w:val="1"/>
    <w:qFormat/>
    <w:rsid w:val="008B3A2D"/>
    <w:pPr>
      <w:spacing w:after="0" w:line="240" w:lineRule="auto"/>
    </w:pPr>
    <w:rPr>
      <w:rFonts w:ascii="Calibri" w:eastAsia="Times New Roman" w:hAnsi="Calibri" w:cs="Times New Roman"/>
      <w:lang w:eastAsia="ru-RU"/>
    </w:rPr>
  </w:style>
  <w:style w:type="character" w:customStyle="1" w:styleId="a6">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5"/>
    <w:uiPriority w:val="1"/>
    <w:locked/>
    <w:rsid w:val="008B3A2D"/>
    <w:rPr>
      <w:rFonts w:ascii="Calibri" w:eastAsia="Times New Roman" w:hAnsi="Calibri" w:cs="Times New Roman"/>
      <w:lang w:eastAsia="ru-RU"/>
    </w:rPr>
  </w:style>
  <w:style w:type="character" w:customStyle="1" w:styleId="a7">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w:link w:val="a8"/>
    <w:uiPriority w:val="1"/>
    <w:locked/>
    <w:rsid w:val="00D01D38"/>
  </w:style>
  <w:style w:type="paragraph" w:styleId="a8">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w:basedOn w:val="a"/>
    <w:link w:val="a7"/>
    <w:uiPriority w:val="1"/>
    <w:unhideWhenUsed/>
    <w:qFormat/>
    <w:rsid w:val="00D01D38"/>
    <w:pPr>
      <w:spacing w:after="120" w:line="276" w:lineRule="auto"/>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5776"/>
    <w:pPr>
      <w:ind w:left="720"/>
      <w:contextualSpacing/>
    </w:pPr>
  </w:style>
  <w:style w:type="paragraph" w:styleId="a5">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6"/>
    <w:uiPriority w:val="1"/>
    <w:qFormat/>
    <w:rsid w:val="008B3A2D"/>
    <w:pPr>
      <w:spacing w:after="0" w:line="240" w:lineRule="auto"/>
    </w:pPr>
    <w:rPr>
      <w:rFonts w:ascii="Calibri" w:eastAsia="Times New Roman" w:hAnsi="Calibri" w:cs="Times New Roman"/>
      <w:lang w:eastAsia="ru-RU"/>
    </w:rPr>
  </w:style>
  <w:style w:type="character" w:customStyle="1" w:styleId="a6">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5"/>
    <w:uiPriority w:val="1"/>
    <w:locked/>
    <w:rsid w:val="008B3A2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Сарсикеева</dc:creator>
  <cp:lastModifiedBy>1</cp:lastModifiedBy>
  <cp:revision>2</cp:revision>
  <dcterms:created xsi:type="dcterms:W3CDTF">2025-05-16T03:16:00Z</dcterms:created>
  <dcterms:modified xsi:type="dcterms:W3CDTF">2025-05-16T03:16:00Z</dcterms:modified>
</cp:coreProperties>
</file>